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黑体" w:hAnsi="黑体" w:eastAsia="黑体"/>
        </w:rPr>
      </w:pPr>
      <w:r>
        <w:rPr>
          <w:rFonts w:ascii="黑体" w:hAnsi="黑体" w:eastAsia="黑体"/>
          <w:sz w:val="44"/>
        </w:rPr>
        <w:t>招标文件</w:t>
      </w:r>
    </w:p>
    <w:p>
      <w:pPr>
        <w:pStyle w:val="4"/>
        <w:rPr>
          <w:lang w:eastAsia="zh-Hans"/>
        </w:rPr>
      </w:pPr>
      <w:r>
        <w:rPr>
          <w:rFonts w:hint="eastAsia"/>
          <w:lang w:eastAsia="zh-Hans"/>
        </w:rPr>
        <w:t>第一章</w:t>
      </w:r>
      <w:r>
        <w:rPr>
          <w:lang w:eastAsia="zh-Hans"/>
        </w:rPr>
        <w:t xml:space="preserve"> </w:t>
      </w:r>
      <w:r>
        <w:rPr>
          <w:rFonts w:hint="eastAsia"/>
          <w:lang w:eastAsia="zh-Hans"/>
        </w:rPr>
        <w:t>招标公告</w:t>
      </w: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hint="eastAsia" w:ascii="Times New Roman" w:hAnsi="Times New Roman" w:eastAsia="宋体"/>
          <w:sz w:val="21"/>
          <w:szCs w:val="21"/>
        </w:rPr>
        <w:t>一、招标背景</w:t>
      </w:r>
    </w:p>
    <w:p>
      <w:pPr>
        <w:spacing w:line="360" w:lineRule="auto"/>
        <w:ind w:firstLine="400" w:firstLineChars="200"/>
        <w:rPr>
          <w:rFonts w:ascii="宋体" w:hAnsi="宋体" w:cs="宋体"/>
        </w:rPr>
      </w:pPr>
      <w:r>
        <w:rPr>
          <w:rFonts w:hint="eastAsia" w:ascii="宋体" w:hAnsi="宋体" w:cs="宋体"/>
          <w:szCs w:val="21"/>
        </w:rPr>
        <w:t>杭州兑吧网络科技有限公司（以下简称“兑吧”），是中国领先的用户运营SaaS服务商,为全行业提供数字</w:t>
      </w:r>
      <w:r>
        <w:rPr>
          <w:rFonts w:hint="eastAsia" w:ascii="宋体" w:hAnsi="宋体" w:cs="宋体"/>
        </w:rPr>
        <w:t>时代所需的在线用户服务能力，累计服务超过万家企事业单位。根据兑吧目前业务发展需求，现对全品类实物产品供应商进行公开招标，欢迎合格的供应商前来投标。</w:t>
      </w:r>
    </w:p>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0"/>
        </w:rPr>
      </w:pPr>
      <w:r>
        <w:rPr>
          <w:rFonts w:hint="eastAsia" w:ascii="Times New Roman" w:hAnsi="Times New Roman" w:eastAsia="宋体"/>
          <w:sz w:val="20"/>
        </w:rPr>
        <w:t>二、招标项目说明</w:t>
      </w:r>
    </w:p>
    <w:p>
      <w:pPr>
        <w:widowControl w:val="0"/>
        <w:numPr>
          <w:ilvl w:val="0"/>
          <w:numId w:val="1"/>
        </w:numPr>
        <w:adjustRightInd w:val="0"/>
        <w:spacing w:line="360" w:lineRule="auto"/>
        <w:ind w:firstLineChars="200"/>
        <w:jc w:val="both"/>
        <w:textAlignment w:val="baseline"/>
        <w:rPr>
          <w:rFonts w:ascii="宋体" w:hAnsi="宋体" w:cs="宋体"/>
        </w:rPr>
      </w:pPr>
      <w:r>
        <w:rPr>
          <w:rFonts w:hint="eastAsia" w:ascii="宋体" w:hAnsi="宋体" w:cs="宋体"/>
        </w:rPr>
        <w:t>招标人：杭州兑吧网络科技有限公司</w:t>
      </w:r>
    </w:p>
    <w:p>
      <w:pPr>
        <w:widowControl w:val="0"/>
        <w:numPr>
          <w:ilvl w:val="0"/>
          <w:numId w:val="1"/>
        </w:numPr>
        <w:adjustRightInd w:val="0"/>
        <w:spacing w:line="360" w:lineRule="auto"/>
        <w:ind w:firstLineChars="200"/>
        <w:jc w:val="both"/>
        <w:textAlignment w:val="baseline"/>
        <w:rPr>
          <w:rFonts w:ascii="宋体" w:hAnsi="宋体" w:cs="宋体"/>
        </w:rPr>
      </w:pPr>
      <w:r>
        <w:rPr>
          <w:rFonts w:hint="eastAsia" w:ascii="宋体" w:hAnsi="宋体" w:cs="宋体"/>
        </w:rPr>
        <w:t>项目名称：杭州兑吧网络科技有限公司全品类实物商品供应商入库</w:t>
      </w:r>
    </w:p>
    <w:p>
      <w:pPr>
        <w:widowControl w:val="0"/>
        <w:numPr>
          <w:ilvl w:val="0"/>
          <w:numId w:val="1"/>
        </w:numPr>
        <w:adjustRightInd w:val="0"/>
        <w:spacing w:line="360" w:lineRule="auto"/>
        <w:ind w:firstLineChars="200"/>
        <w:jc w:val="both"/>
        <w:textAlignment w:val="baseline"/>
        <w:rPr>
          <w:rFonts w:ascii="宋体" w:hAnsi="宋体" w:cs="宋体"/>
        </w:rPr>
      </w:pPr>
      <w:r>
        <w:rPr>
          <w:rFonts w:hint="eastAsia" w:ascii="宋体" w:hAnsi="宋体" w:cs="宋体"/>
        </w:rPr>
        <w:t>合作方式：项目选定供应商库，并签订合作协议，日后定期进行选品、通过供应商库企业商品综合评比确定供应商，以实际发货金额月度结算。同时制定供应商准入及退出管理机制，进行季度考核。</w:t>
      </w:r>
    </w:p>
    <w:p>
      <w:pPr>
        <w:pStyle w:val="2"/>
        <w:numPr>
          <w:ilvl w:val="0"/>
          <w:numId w:val="1"/>
        </w:numPr>
        <w:ind w:firstLineChars="200"/>
        <w:rPr>
          <w:rFonts w:cs="宋体"/>
          <w:sz w:val="20"/>
          <w:lang w:eastAsia="zh-Hans"/>
        </w:rPr>
      </w:pPr>
      <w:r>
        <w:rPr>
          <w:rFonts w:hint="eastAsia" w:cs="宋体"/>
          <w:sz w:val="20"/>
          <w:lang w:eastAsia="zh-Hans"/>
        </w:rPr>
        <w:t>招标流程：</w:t>
      </w:r>
    </w:p>
    <w:p>
      <w:pPr>
        <w:pStyle w:val="2"/>
        <w:numPr>
          <w:ilvl w:val="0"/>
          <w:numId w:val="2"/>
        </w:numPr>
        <w:rPr>
          <w:rFonts w:cs="宋体"/>
          <w:sz w:val="20"/>
          <w:lang w:eastAsia="zh-Hans"/>
        </w:rPr>
      </w:pPr>
      <w:r>
        <w:rPr>
          <w:rFonts w:hint="eastAsia" w:cs="宋体"/>
          <w:sz w:val="20"/>
          <w:lang w:eastAsia="zh-Hans"/>
        </w:rPr>
        <w:t>资格审查，招标公告发布起至</w:t>
      </w:r>
      <w:r>
        <w:rPr>
          <w:rFonts w:cs="宋体"/>
          <w:b/>
          <w:bCs/>
          <w:sz w:val="20"/>
          <w:lang w:eastAsia="zh-Hans"/>
        </w:rPr>
        <w:t>20</w:t>
      </w:r>
      <w:r>
        <w:rPr>
          <w:rFonts w:cs="宋体"/>
          <w:b/>
          <w:bCs/>
          <w:sz w:val="20"/>
          <w:highlight w:val="none"/>
          <w:lang w:eastAsia="zh-Hans"/>
        </w:rPr>
        <w:t>21</w:t>
      </w:r>
      <w:r>
        <w:rPr>
          <w:rFonts w:hint="eastAsia" w:cs="宋体"/>
          <w:b/>
          <w:bCs/>
          <w:sz w:val="20"/>
          <w:highlight w:val="none"/>
          <w:lang w:eastAsia="zh-Hans"/>
        </w:rPr>
        <w:t>年</w:t>
      </w:r>
      <w:r>
        <w:rPr>
          <w:rFonts w:cs="宋体"/>
          <w:b/>
          <w:bCs/>
          <w:sz w:val="20"/>
          <w:highlight w:val="none"/>
          <w:lang w:eastAsia="zh-Hans"/>
        </w:rPr>
        <w:t>3</w:t>
      </w:r>
      <w:r>
        <w:rPr>
          <w:rFonts w:hint="eastAsia" w:cs="宋体"/>
          <w:b/>
          <w:bCs/>
          <w:sz w:val="20"/>
          <w:lang w:eastAsia="zh-Hans"/>
        </w:rPr>
        <w:t>月</w:t>
      </w:r>
      <w:r>
        <w:rPr>
          <w:rFonts w:hint="default" w:cs="宋体"/>
          <w:b/>
          <w:bCs/>
          <w:sz w:val="20"/>
          <w:lang w:eastAsia="zh-Hans"/>
        </w:rPr>
        <w:t>30</w:t>
      </w:r>
      <w:r>
        <w:rPr>
          <w:rFonts w:hint="eastAsia" w:cs="宋体"/>
          <w:b/>
          <w:bCs/>
          <w:sz w:val="20"/>
          <w:lang w:eastAsia="zh-Hans"/>
        </w:rPr>
        <w:t>日</w:t>
      </w:r>
      <w:r>
        <w:rPr>
          <w:rFonts w:hint="eastAsia" w:cs="宋体"/>
          <w:sz w:val="20"/>
          <w:lang w:eastAsia="zh-Hans"/>
        </w:rPr>
        <w:t>止，投标人将除简介方案</w:t>
      </w:r>
      <w:r>
        <w:rPr>
          <w:rFonts w:cs="宋体"/>
          <w:sz w:val="20"/>
          <w:lang w:eastAsia="zh-Hans"/>
        </w:rPr>
        <w:t>PPT</w:t>
      </w:r>
      <w:r>
        <w:rPr>
          <w:rFonts w:hint="eastAsia" w:cs="宋体"/>
          <w:sz w:val="20"/>
          <w:lang w:eastAsia="zh-Hans"/>
        </w:rPr>
        <w:t>外其他电子版资料发送至招标人指定邮箱：</w:t>
      </w:r>
      <w:r>
        <w:rPr>
          <w:rFonts w:hint="eastAsia" w:cs="宋体"/>
          <w:b/>
          <w:bCs/>
          <w:sz w:val="20"/>
          <w:lang w:val="en-US" w:eastAsia="zh-Hans"/>
        </w:rPr>
        <w:t>liyaqin@duiba.com.cn，baowenli@duiba.com.cn</w:t>
      </w:r>
      <w:r>
        <w:rPr>
          <w:rFonts w:hint="eastAsia" w:cs="宋体"/>
          <w:sz w:val="20"/>
          <w:lang w:eastAsia="zh-Hans"/>
        </w:rPr>
        <w:t>。</w:t>
      </w:r>
    </w:p>
    <w:p>
      <w:pPr>
        <w:pStyle w:val="2"/>
        <w:numPr>
          <w:ilvl w:val="0"/>
          <w:numId w:val="2"/>
        </w:numPr>
        <w:rPr>
          <w:rFonts w:cs="宋体"/>
          <w:sz w:val="20"/>
          <w:lang w:eastAsia="zh-Hans"/>
        </w:rPr>
      </w:pPr>
      <w:r>
        <w:rPr>
          <w:rFonts w:hint="eastAsia" w:cs="宋体"/>
          <w:sz w:val="20"/>
          <w:lang w:eastAsia="zh-Hans"/>
        </w:rPr>
        <w:t>招标人通过内部审查后，通过审查无误后，邮箱回复确认入围，于</w:t>
      </w:r>
      <w:r>
        <w:rPr>
          <w:rFonts w:cs="宋体"/>
          <w:b/>
          <w:bCs/>
          <w:sz w:val="20"/>
          <w:lang w:eastAsia="zh-Hans"/>
        </w:rPr>
        <w:t>2021</w:t>
      </w:r>
      <w:r>
        <w:rPr>
          <w:rFonts w:hint="eastAsia" w:cs="宋体"/>
          <w:b/>
          <w:bCs/>
          <w:sz w:val="20"/>
          <w:lang w:eastAsia="zh-Hans"/>
        </w:rPr>
        <w:t>年</w:t>
      </w:r>
      <w:r>
        <w:rPr>
          <w:rFonts w:cs="宋体"/>
          <w:b/>
          <w:bCs/>
          <w:sz w:val="20"/>
          <w:lang w:eastAsia="zh-Hans"/>
        </w:rPr>
        <w:t>4</w:t>
      </w:r>
      <w:r>
        <w:rPr>
          <w:rFonts w:hint="eastAsia" w:cs="宋体"/>
          <w:b/>
          <w:bCs/>
          <w:sz w:val="20"/>
          <w:lang w:eastAsia="zh-Hans"/>
        </w:rPr>
        <w:t>月</w:t>
      </w:r>
      <w:r>
        <w:rPr>
          <w:rFonts w:cs="宋体"/>
          <w:b/>
          <w:bCs/>
          <w:sz w:val="20"/>
          <w:lang w:eastAsia="zh-Hans"/>
        </w:rPr>
        <w:t xml:space="preserve"> 8 </w:t>
      </w:r>
      <w:r>
        <w:rPr>
          <w:rFonts w:hint="eastAsia" w:cs="宋体"/>
          <w:b/>
          <w:bCs/>
          <w:sz w:val="20"/>
          <w:lang w:eastAsia="zh-Hans"/>
        </w:rPr>
        <w:t>日</w:t>
      </w:r>
      <w:r>
        <w:rPr>
          <w:rFonts w:hint="eastAsia" w:cs="宋体"/>
          <w:sz w:val="20"/>
          <w:lang w:eastAsia="zh-Hans"/>
        </w:rPr>
        <w:t>携带纸质版投标密封文件进行现场方案讲解并答疑。</w:t>
      </w:r>
    </w:p>
    <w:p>
      <w:pPr>
        <w:pStyle w:val="2"/>
        <w:numPr>
          <w:ilvl w:val="0"/>
          <w:numId w:val="1"/>
        </w:numPr>
        <w:ind w:firstLineChars="200"/>
        <w:rPr>
          <w:rFonts w:cs="宋体"/>
          <w:sz w:val="20"/>
        </w:rPr>
      </w:pPr>
      <w:r>
        <w:rPr>
          <w:rFonts w:hint="eastAsia" w:cs="宋体"/>
          <w:sz w:val="20"/>
        </w:rPr>
        <w:t>供货流程：</w:t>
      </w:r>
    </w:p>
    <w:p>
      <w:pPr>
        <w:numPr>
          <w:ilvl w:val="0"/>
          <w:numId w:val="3"/>
        </w:numPr>
        <w:rPr>
          <w:b w:val="0"/>
          <w:bCs w:val="0"/>
        </w:rPr>
      </w:pPr>
      <w:r>
        <w:rPr>
          <w:b w:val="0"/>
          <w:bCs w:val="0"/>
        </w:rPr>
        <w:t>定期提供优势商品列表，供兑吧上架至积分商城后台，在供应商管理后台自主发货及回传物流单号。</w:t>
      </w:r>
    </w:p>
    <w:p>
      <w:pPr>
        <w:numPr>
          <w:ilvl w:val="0"/>
          <w:numId w:val="3"/>
        </w:numPr>
        <w:rPr>
          <w:b w:val="0"/>
          <w:bCs w:val="0"/>
        </w:rPr>
      </w:pPr>
      <w:r>
        <w:rPr>
          <w:b w:val="0"/>
          <w:bCs w:val="0"/>
        </w:rPr>
        <w:t>兑吧主动询价商品，出单后可再供应管理后台自主发货及回传物流单号。</w:t>
      </w:r>
    </w:p>
    <w:p>
      <w:pPr>
        <w:pStyle w:val="2"/>
        <w:numPr>
          <w:ilvl w:val="0"/>
          <w:numId w:val="1"/>
        </w:numPr>
        <w:ind w:firstLineChars="200"/>
        <w:rPr>
          <w:rFonts w:cs="宋体"/>
          <w:sz w:val="20"/>
        </w:rPr>
      </w:pPr>
      <w:r>
        <w:rPr>
          <w:rFonts w:hint="eastAsia" w:cs="宋体"/>
          <w:sz w:val="20"/>
        </w:rPr>
        <w:t>执行内容：附件</w:t>
      </w:r>
      <w:r>
        <w:rPr>
          <w:rFonts w:hint="eastAsia" w:cs="宋体"/>
          <w:sz w:val="20"/>
          <w:lang w:val="en-US" w:eastAsia="zh-Hans"/>
        </w:rPr>
        <w:t>一</w:t>
      </w:r>
      <w:r>
        <w:rPr>
          <w:rFonts w:hint="eastAsia" w:cs="宋体"/>
          <w:sz w:val="20"/>
        </w:rPr>
        <w:t>所展示的50种二级类目商品</w:t>
      </w:r>
    </w:p>
    <w:p>
      <w:pPr>
        <w:spacing w:line="360" w:lineRule="auto"/>
        <w:ind w:firstLine="400" w:firstLineChars="200"/>
        <w:rPr>
          <w:rFonts w:ascii="宋体" w:hAnsi="宋体" w:cs="宋体"/>
        </w:rPr>
      </w:pPr>
      <w:r>
        <w:rPr>
          <w:rFonts w:ascii="宋体" w:hAnsi="宋体" w:cs="宋体"/>
        </w:rPr>
        <w:t>注：在合同有效期内，礼品清单将定期更新，并组织入围供应商比价。</w:t>
      </w:r>
    </w:p>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hint="eastAsia" w:ascii="Times New Roman" w:hAnsi="Times New Roman" w:eastAsia="宋体"/>
          <w:sz w:val="21"/>
          <w:szCs w:val="21"/>
        </w:rPr>
        <w:t>三、合格投标人的基本资质要求</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投标人须具有独立承担民事责任的能力。</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2018年1月1日至投标截止日，投标人具有银行、品牌零售、互联网企业积分兑换或奖品供应合作案例（以合同签订时间为准，并提供合同的复印件或用户证明材料）。</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截至投标截止日，投标人未被“信用中国”网站（http://www.creditchina.gov.cn）列入失信被执行人、重大税收违法案件当事人名单、政府采购严重违法失信行为记录名单。</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投标人法定代表人、控股股东或实际控制人与兑吧高管人员及使用需求部门、采购部门关键岗位人员无夫妻、直系血亲、三代以内旁系血亲或者近姻亲关系。</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负责人为同一人或存在控股、管理关系的不同供应商，不得同时参加本项目投标。</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公司注册资金500万以上</w:t>
      </w:r>
      <w:r>
        <w:rPr>
          <w:rFonts w:hint="eastAsia" w:ascii="宋体" w:hAnsi="宋体" w:cs="宋体"/>
          <w:lang w:eastAsia="zh-Hans"/>
        </w:rPr>
        <w:t>。</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投标人能够开具增值税专用发票，具备增值税一般纳税人资格(提供增值税一般纳税人证明资料)，且提供能够抵扣进项税额的统一发票。</w:t>
      </w:r>
    </w:p>
    <w:p>
      <w:pPr>
        <w:widowControl w:val="0"/>
        <w:numPr>
          <w:ilvl w:val="0"/>
          <w:numId w:val="4"/>
        </w:numPr>
        <w:adjustRightInd w:val="0"/>
        <w:spacing w:line="360" w:lineRule="auto"/>
        <w:ind w:left="400" w:leftChars="200" w:firstLine="0"/>
        <w:jc w:val="both"/>
        <w:textAlignment w:val="baseline"/>
        <w:rPr>
          <w:rFonts w:ascii="宋体" w:hAnsi="宋体" w:cs="宋体"/>
        </w:rPr>
      </w:pPr>
      <w:r>
        <w:rPr>
          <w:rFonts w:ascii="宋体" w:hAnsi="宋体" w:cs="宋体"/>
        </w:rPr>
        <w:t>本项目不接受联合体投标。</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四、招标文件发布</w:t>
      </w:r>
    </w:p>
    <w:p>
      <w:pPr>
        <w:widowControl w:val="0"/>
        <w:numPr>
          <w:ilvl w:val="0"/>
          <w:numId w:val="5"/>
        </w:numPr>
        <w:adjustRightInd w:val="0"/>
        <w:spacing w:line="360" w:lineRule="auto"/>
        <w:jc w:val="both"/>
        <w:textAlignment w:val="baseline"/>
        <w:rPr>
          <w:rFonts w:ascii="宋体" w:hAnsi="宋体" w:cs="宋体"/>
        </w:rPr>
      </w:pPr>
      <w:r>
        <w:rPr>
          <w:rFonts w:ascii="宋体" w:hAnsi="宋体" w:cs="宋体"/>
        </w:rPr>
        <w:t>发布时间：2021年3月19日至2021年3月30日</w:t>
      </w:r>
    </w:p>
    <w:p>
      <w:pPr>
        <w:widowControl w:val="0"/>
        <w:numPr>
          <w:ilvl w:val="0"/>
          <w:numId w:val="5"/>
        </w:numPr>
        <w:adjustRightInd w:val="0"/>
        <w:spacing w:line="360" w:lineRule="auto"/>
        <w:jc w:val="both"/>
        <w:textAlignment w:val="baseline"/>
        <w:rPr>
          <w:rFonts w:ascii="宋体" w:hAnsi="宋体" w:cs="宋体"/>
        </w:rPr>
      </w:pPr>
      <w:r>
        <w:rPr>
          <w:rFonts w:ascii="宋体" w:hAnsi="宋体" w:cs="宋体"/>
        </w:rPr>
        <w:t>投标人将所需材料发至公告中的指定邮箱地址</w:t>
      </w:r>
      <w:r>
        <w:rPr>
          <w:rFonts w:hint="eastAsia" w:ascii="宋体" w:hAnsi="宋体" w:cs="宋体"/>
          <w:lang w:eastAsia="zh-Hans"/>
        </w:rPr>
        <w:t>：</w:t>
      </w:r>
      <w:r>
        <w:rPr>
          <w:rFonts w:hint="eastAsia" w:ascii="宋体" w:hAnsi="宋体" w:cs="宋体"/>
          <w:lang w:val="en-US" w:eastAsia="zh-Hans"/>
        </w:rPr>
        <w:t>liyaqin@duiba.com.cn，baowenli@duiba.com.cn</w:t>
      </w:r>
      <w:r>
        <w:rPr>
          <w:rFonts w:ascii="宋体" w:hAnsi="宋体" w:cs="宋体"/>
        </w:rPr>
        <w:t>。</w:t>
      </w:r>
    </w:p>
    <w:p>
      <w:pPr>
        <w:widowControl w:val="0"/>
        <w:numPr>
          <w:ilvl w:val="0"/>
          <w:numId w:val="5"/>
        </w:numPr>
        <w:adjustRightInd w:val="0"/>
        <w:spacing w:line="360" w:lineRule="auto"/>
        <w:jc w:val="both"/>
        <w:textAlignment w:val="baseline"/>
        <w:rPr>
          <w:rFonts w:ascii="宋体" w:hAnsi="宋体" w:cs="宋体"/>
        </w:rPr>
      </w:pPr>
      <w:r>
        <w:rPr>
          <w:rFonts w:ascii="宋体" w:hAnsi="宋体" w:cs="宋体"/>
        </w:rPr>
        <w:t>通过初筛资质要求符合后，若成功入选，将以</w:t>
      </w:r>
      <w:r>
        <w:rPr>
          <w:rFonts w:hint="eastAsia" w:ascii="宋体" w:hAnsi="宋体" w:cs="宋体"/>
          <w:lang w:val="en-US" w:eastAsia="zh-Hans"/>
        </w:rPr>
        <w:t>如上指定</w:t>
      </w:r>
      <w:r>
        <w:rPr>
          <w:rFonts w:ascii="宋体" w:hAnsi="宋体" w:cs="宋体"/>
        </w:rPr>
        <w:t>邮箱通知为准。</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五、招标说明会</w:t>
      </w:r>
    </w:p>
    <w:p>
      <w:pPr>
        <w:widowControl w:val="0"/>
        <w:numPr>
          <w:ilvl w:val="0"/>
          <w:numId w:val="6"/>
        </w:numPr>
        <w:adjustRightInd w:val="0"/>
        <w:spacing w:line="360" w:lineRule="auto"/>
        <w:jc w:val="both"/>
        <w:textAlignment w:val="baseline"/>
        <w:rPr>
          <w:rFonts w:ascii="宋体" w:hAnsi="宋体" w:cs="宋体"/>
        </w:rPr>
      </w:pPr>
      <w:r>
        <w:rPr>
          <w:rFonts w:ascii="宋体" w:hAnsi="宋体" w:cs="宋体"/>
        </w:rPr>
        <w:t>招标人将视情况需要举行项目说明会议，就本项目需求及相关要求向各投标人介绍情况。各投标人须派相关代表（项目经理及编制投标文件的商务人员等）参加会议，否则由此引起的相关后果由投标人自负。</w:t>
      </w:r>
    </w:p>
    <w:p>
      <w:pPr>
        <w:widowControl w:val="0"/>
        <w:numPr>
          <w:ilvl w:val="0"/>
          <w:numId w:val="6"/>
        </w:numPr>
        <w:adjustRightInd w:val="0"/>
        <w:spacing w:line="360" w:lineRule="auto"/>
        <w:jc w:val="both"/>
        <w:textAlignment w:val="baseline"/>
        <w:rPr>
          <w:rFonts w:ascii="宋体" w:hAnsi="宋体" w:cs="宋体"/>
        </w:rPr>
      </w:pPr>
      <w:r>
        <w:rPr>
          <w:rFonts w:ascii="宋体" w:hAnsi="宋体" w:cs="宋体"/>
        </w:rPr>
        <w:t>会议开始时间：待定。</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六、澄清答疑时间安排</w:t>
      </w:r>
    </w:p>
    <w:p>
      <w:pPr>
        <w:spacing w:line="360" w:lineRule="auto"/>
        <w:ind w:firstLine="400" w:firstLineChars="200"/>
        <w:rPr>
          <w:rFonts w:ascii="宋体" w:hAnsi="宋体" w:cs="宋体"/>
          <w:szCs w:val="21"/>
        </w:rPr>
      </w:pPr>
      <w:r>
        <w:rPr>
          <w:rFonts w:hint="eastAsia" w:ascii="宋体" w:hAnsi="宋体" w:cs="宋体"/>
          <w:szCs w:val="21"/>
        </w:rPr>
        <w:t>各投标人如果对本项目招标文件有任何澄清要求，请于202</w:t>
      </w:r>
      <w:r>
        <w:rPr>
          <w:rFonts w:hint="default" w:ascii="宋体" w:hAnsi="宋体" w:cs="宋体"/>
          <w:szCs w:val="21"/>
        </w:rPr>
        <w:t>1</w:t>
      </w:r>
      <w:r>
        <w:rPr>
          <w:rFonts w:hint="eastAsia" w:ascii="宋体" w:hAnsi="宋体" w:cs="宋体"/>
          <w:szCs w:val="21"/>
        </w:rPr>
        <w:t>年4月</w:t>
      </w:r>
      <w:r>
        <w:rPr>
          <w:rFonts w:hint="default" w:ascii="宋体" w:hAnsi="宋体" w:cs="宋体"/>
          <w:szCs w:val="21"/>
        </w:rPr>
        <w:t>2</w:t>
      </w:r>
      <w:r>
        <w:rPr>
          <w:rFonts w:hint="eastAsia" w:ascii="宋体" w:hAnsi="宋体" w:cs="宋体"/>
          <w:szCs w:val="21"/>
        </w:rPr>
        <w:t>日上午10:00前发送至邮箱；liyaqin@duiba.com.cn（邮件标题备注某某公司对XX项目的澄清要求）。</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七、开标与投标</w:t>
      </w:r>
    </w:p>
    <w:p>
      <w:pPr>
        <w:widowControl w:val="0"/>
        <w:numPr>
          <w:ilvl w:val="0"/>
          <w:numId w:val="7"/>
        </w:numPr>
        <w:adjustRightInd w:val="0"/>
        <w:spacing w:line="360" w:lineRule="auto"/>
        <w:jc w:val="both"/>
        <w:textAlignment w:val="baseline"/>
        <w:rPr>
          <w:rFonts w:ascii="宋体" w:hAnsi="宋体" w:cs="宋体"/>
        </w:rPr>
      </w:pPr>
      <w:r>
        <w:rPr>
          <w:rFonts w:ascii="宋体" w:hAnsi="宋体" w:cs="宋体"/>
        </w:rPr>
        <w:t>投标文件递交时间：</w:t>
      </w:r>
      <w:r>
        <w:rPr>
          <w:rFonts w:hint="eastAsia" w:ascii="宋体" w:hAnsi="宋体" w:cs="宋体"/>
          <w:lang w:val="en-US" w:eastAsia="zh-Hans"/>
        </w:rPr>
        <w:t>电子版资料截止时间为</w:t>
      </w:r>
      <w:r>
        <w:rPr>
          <w:rFonts w:ascii="宋体" w:hAnsi="宋体" w:cs="宋体"/>
        </w:rPr>
        <w:t>2021</w:t>
      </w:r>
      <w:r>
        <w:rPr>
          <w:rFonts w:hint="eastAsia" w:ascii="宋体" w:hAnsi="宋体" w:cs="宋体"/>
          <w:lang w:val="en-US" w:eastAsia="zh-Hans"/>
        </w:rPr>
        <w:t>年</w:t>
      </w:r>
      <w:r>
        <w:rPr>
          <w:rFonts w:hint="default" w:ascii="宋体" w:hAnsi="宋体" w:cs="宋体"/>
          <w:lang w:eastAsia="zh-Hans"/>
        </w:rPr>
        <w:t>4</w:t>
      </w:r>
      <w:r>
        <w:rPr>
          <w:rFonts w:hint="eastAsia" w:ascii="宋体" w:hAnsi="宋体" w:cs="宋体"/>
          <w:lang w:val="en-US" w:eastAsia="zh-Hans"/>
        </w:rPr>
        <w:t>月</w:t>
      </w:r>
      <w:r>
        <w:rPr>
          <w:rFonts w:hint="default" w:ascii="宋体" w:hAnsi="宋体" w:cs="宋体"/>
          <w:lang w:eastAsia="zh-Hans"/>
        </w:rPr>
        <w:t>7</w:t>
      </w:r>
      <w:r>
        <w:rPr>
          <w:rFonts w:hint="eastAsia" w:ascii="宋体" w:hAnsi="宋体" w:cs="宋体"/>
          <w:lang w:val="en-US" w:eastAsia="zh-Hans"/>
        </w:rPr>
        <w:t>日</w:t>
      </w:r>
      <w:r>
        <w:rPr>
          <w:rFonts w:hint="default" w:ascii="宋体" w:hAnsi="宋体" w:cs="宋体"/>
          <w:lang w:eastAsia="zh-Hans"/>
        </w:rPr>
        <w:t>18</w:t>
      </w:r>
      <w:r>
        <w:rPr>
          <w:rFonts w:hint="eastAsia" w:ascii="宋体" w:hAnsi="宋体" w:cs="宋体"/>
          <w:lang w:eastAsia="zh-Hans"/>
        </w:rPr>
        <w:t>：</w:t>
      </w:r>
      <w:r>
        <w:rPr>
          <w:rFonts w:hint="default" w:ascii="宋体" w:hAnsi="宋体" w:cs="宋体"/>
          <w:lang w:eastAsia="zh-Hans"/>
        </w:rPr>
        <w:t>00</w:t>
      </w:r>
      <w:r>
        <w:rPr>
          <w:rFonts w:hint="eastAsia" w:ascii="宋体" w:hAnsi="宋体" w:cs="宋体"/>
          <w:lang w:val="en-US" w:eastAsia="zh-Hans"/>
        </w:rPr>
        <w:t>整</w:t>
      </w:r>
      <w:r>
        <w:rPr>
          <w:rFonts w:ascii="宋体" w:hAnsi="宋体" w:cs="宋体"/>
        </w:rPr>
        <w:t>。</w:t>
      </w:r>
    </w:p>
    <w:p>
      <w:pPr>
        <w:widowControl w:val="0"/>
        <w:numPr>
          <w:ilvl w:val="0"/>
          <w:numId w:val="7"/>
        </w:numPr>
        <w:adjustRightInd w:val="0"/>
        <w:spacing w:line="360" w:lineRule="auto"/>
        <w:jc w:val="both"/>
        <w:textAlignment w:val="baseline"/>
        <w:rPr>
          <w:rFonts w:ascii="宋体" w:hAnsi="宋体" w:cs="宋体"/>
        </w:rPr>
      </w:pPr>
      <w:r>
        <w:rPr>
          <w:rFonts w:ascii="宋体" w:hAnsi="宋体" w:cs="宋体"/>
        </w:rPr>
        <w:t>开标及递交投标文件截止时间：</w:t>
      </w:r>
      <w:r>
        <w:rPr>
          <w:rFonts w:hint="eastAsia" w:ascii="宋体" w:hAnsi="宋体" w:cs="宋体"/>
          <w:lang w:val="en-US" w:eastAsia="zh-Hans"/>
        </w:rPr>
        <w:t>开标时间：</w:t>
      </w:r>
      <w:r>
        <w:rPr>
          <w:rFonts w:hint="default" w:ascii="宋体" w:hAnsi="宋体" w:cs="宋体"/>
          <w:lang w:eastAsia="zh-Hans"/>
        </w:rPr>
        <w:t>2021</w:t>
      </w:r>
      <w:r>
        <w:rPr>
          <w:rFonts w:hint="eastAsia" w:ascii="宋体" w:hAnsi="宋体" w:cs="宋体"/>
          <w:lang w:val="en-US" w:eastAsia="zh-Hans"/>
        </w:rPr>
        <w:t>年</w:t>
      </w:r>
      <w:r>
        <w:rPr>
          <w:rFonts w:hint="default" w:ascii="宋体" w:hAnsi="宋体" w:cs="宋体"/>
          <w:lang w:eastAsia="zh-Hans"/>
        </w:rPr>
        <w:t>4</w:t>
      </w:r>
      <w:r>
        <w:rPr>
          <w:rFonts w:hint="eastAsia" w:ascii="宋体" w:hAnsi="宋体" w:cs="宋体"/>
          <w:lang w:val="en-US" w:eastAsia="zh-Hans"/>
        </w:rPr>
        <w:t>月</w:t>
      </w:r>
      <w:r>
        <w:rPr>
          <w:rFonts w:hint="default" w:ascii="宋体" w:hAnsi="宋体" w:cs="宋体"/>
          <w:lang w:eastAsia="zh-Hans"/>
        </w:rPr>
        <w:t>8</w:t>
      </w:r>
      <w:r>
        <w:rPr>
          <w:rFonts w:hint="eastAsia" w:ascii="宋体" w:hAnsi="宋体" w:cs="宋体"/>
          <w:lang w:val="en-US" w:eastAsia="zh-Hans"/>
        </w:rPr>
        <w:t>日。</w:t>
      </w:r>
      <w:r>
        <w:rPr>
          <w:rFonts w:ascii="宋体" w:hAnsi="宋体" w:cs="宋体"/>
        </w:rPr>
        <w:t>逾期收到或不符合规定的投标文件恕不接受。</w:t>
      </w:r>
    </w:p>
    <w:p>
      <w:pPr>
        <w:widowControl w:val="0"/>
        <w:numPr>
          <w:ilvl w:val="0"/>
          <w:numId w:val="7"/>
        </w:numPr>
        <w:adjustRightInd w:val="0"/>
        <w:spacing w:line="360" w:lineRule="auto"/>
        <w:jc w:val="both"/>
        <w:textAlignment w:val="baseline"/>
      </w:pPr>
      <w:r>
        <w:rPr>
          <w:rFonts w:ascii="宋体" w:hAnsi="宋体" w:cs="宋体"/>
        </w:rPr>
        <w:t>开标及投标地点为：</w:t>
      </w:r>
      <w:r>
        <w:rPr>
          <w:rFonts w:hint="eastAsia" w:ascii="宋体" w:hAnsi="宋体" w:cs="宋体"/>
          <w:lang w:val="en-US" w:eastAsia="zh-Hans"/>
        </w:rPr>
        <w:t>浙江省杭州市西湖区文一西路</w:t>
      </w:r>
      <w:r>
        <w:rPr>
          <w:rFonts w:hint="default" w:ascii="宋体" w:hAnsi="宋体" w:cs="宋体"/>
          <w:lang w:eastAsia="zh-Hans"/>
        </w:rPr>
        <w:t>98</w:t>
      </w:r>
      <w:r>
        <w:rPr>
          <w:rFonts w:hint="eastAsia" w:ascii="宋体" w:hAnsi="宋体" w:cs="宋体"/>
          <w:lang w:val="en-US" w:eastAsia="zh-Hans"/>
        </w:rPr>
        <w:t>号数娱大厦</w:t>
      </w:r>
      <w:r>
        <w:rPr>
          <w:rFonts w:hint="default" w:ascii="宋体" w:hAnsi="宋体" w:cs="宋体"/>
          <w:lang w:eastAsia="zh-Hans"/>
        </w:rPr>
        <w:t>5</w:t>
      </w:r>
      <w:r>
        <w:rPr>
          <w:rFonts w:hint="eastAsia" w:ascii="宋体" w:hAnsi="宋体" w:cs="宋体"/>
          <w:lang w:val="en-US" w:eastAsia="zh-Hans"/>
        </w:rPr>
        <w:t>楼</w:t>
      </w:r>
      <w:r>
        <w:rPr>
          <w:rFonts w:hint="default" w:ascii="宋体" w:hAnsi="宋体" w:cs="宋体"/>
          <w:lang w:eastAsia="zh-Hans"/>
        </w:rPr>
        <w:t>兑吧</w:t>
      </w:r>
    </w:p>
    <w:p>
      <w:pPr>
        <w:pStyle w:val="4"/>
        <w:rPr>
          <w:szCs w:val="22"/>
          <w:lang w:eastAsia="zh-Hans"/>
        </w:rPr>
      </w:pPr>
      <w:r>
        <w:rPr>
          <w:rFonts w:hint="eastAsia"/>
          <w:szCs w:val="22"/>
          <w:lang w:eastAsia="zh-Hans"/>
        </w:rPr>
        <w:t xml:space="preserve">第二章  </w:t>
      </w:r>
      <w:r>
        <w:rPr>
          <w:rFonts w:hint="eastAsia"/>
          <w:szCs w:val="22"/>
          <w:lang w:val="en-US" w:eastAsia="zh-Hans"/>
        </w:rPr>
        <w:t>投</w:t>
      </w:r>
      <w:r>
        <w:rPr>
          <w:rFonts w:hint="eastAsia"/>
          <w:szCs w:val="22"/>
          <w:lang w:eastAsia="zh-Hans"/>
        </w:rPr>
        <w:t>标人须知</w:t>
      </w: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一、说明</w:t>
      </w:r>
    </w:p>
    <w:p>
      <w:pPr>
        <w:numPr>
          <w:ilvl w:val="0"/>
          <w:numId w:val="8"/>
        </w:numPr>
        <w:rPr>
          <w:rFonts w:ascii="宋体" w:hAnsi="宋体" w:cs="宋体"/>
        </w:rPr>
      </w:pPr>
      <w:r>
        <w:rPr>
          <w:rFonts w:hint="eastAsia" w:ascii="宋体" w:hAnsi="宋体" w:cs="宋体"/>
        </w:rPr>
        <w:t>合格的投标人</w:t>
      </w:r>
    </w:p>
    <w:p>
      <w:pPr>
        <w:spacing w:line="360" w:lineRule="auto"/>
        <w:ind w:firstLine="400" w:firstLineChars="200"/>
        <w:rPr>
          <w:rFonts w:ascii="宋体" w:hAnsi="宋体" w:cs="宋体"/>
        </w:rPr>
      </w:pPr>
      <w:r>
        <w:rPr>
          <w:rFonts w:hint="eastAsia" w:ascii="宋体" w:hAnsi="宋体" w:cs="宋体"/>
        </w:rPr>
        <w:t>详见第一章第三点</w:t>
      </w:r>
    </w:p>
    <w:p>
      <w:pPr>
        <w:spacing w:line="360" w:lineRule="auto"/>
        <w:ind w:firstLine="400" w:firstLineChars="200"/>
        <w:rPr>
          <w:rFonts w:ascii="宋体" w:hAnsi="宋体" w:cs="宋体"/>
        </w:rPr>
      </w:pPr>
      <w:r>
        <w:rPr>
          <w:rFonts w:hint="eastAsia" w:ascii="宋体" w:hAnsi="宋体" w:cs="宋体"/>
        </w:rPr>
        <w:t>特别说明：如果投标人存在重大不良行为，招标人有权取消投标人的投标资格，如已经签订合同的有权终止合同，并将投标人列入禁入名单。</w:t>
      </w:r>
    </w:p>
    <w:p>
      <w:pPr>
        <w:pStyle w:val="2"/>
        <w:rPr>
          <w:rFonts w:cs="宋体"/>
          <w:sz w:val="20"/>
        </w:rPr>
      </w:pPr>
    </w:p>
    <w:p>
      <w:pPr>
        <w:numPr>
          <w:ilvl w:val="0"/>
          <w:numId w:val="8"/>
        </w:numPr>
        <w:rPr>
          <w:rFonts w:ascii="宋体" w:hAnsi="宋体" w:cs="宋体"/>
        </w:rPr>
      </w:pPr>
      <w:r>
        <w:rPr>
          <w:rFonts w:hint="eastAsia" w:ascii="宋体" w:hAnsi="宋体" w:cs="宋体"/>
        </w:rPr>
        <w:t>投标授权</w:t>
      </w:r>
    </w:p>
    <w:p>
      <w:pPr>
        <w:spacing w:line="360" w:lineRule="auto"/>
        <w:ind w:firstLine="400" w:firstLineChars="200"/>
        <w:rPr>
          <w:rFonts w:ascii="宋体" w:hAnsi="宋体" w:cs="宋体"/>
        </w:rPr>
      </w:pPr>
      <w:r>
        <w:rPr>
          <w:rFonts w:hint="eastAsia" w:ascii="宋体" w:hAnsi="宋体" w:cs="宋体"/>
        </w:rPr>
        <w:t>如投标人代表不是法定代表人或负责人，须持有《法定代表人授权书》（投标人无法定代表人的，可提供负责人授权证明）。</w:t>
      </w:r>
    </w:p>
    <w:p>
      <w:pPr>
        <w:pStyle w:val="2"/>
        <w:rPr>
          <w:rFonts w:cs="宋体"/>
          <w:sz w:val="20"/>
        </w:rPr>
      </w:pPr>
    </w:p>
    <w:p>
      <w:pPr>
        <w:numPr>
          <w:ilvl w:val="0"/>
          <w:numId w:val="8"/>
        </w:numPr>
        <w:rPr>
          <w:rFonts w:ascii="宋体" w:hAnsi="宋体" w:cs="宋体"/>
        </w:rPr>
      </w:pPr>
      <w:r>
        <w:rPr>
          <w:rFonts w:hint="eastAsia" w:ascii="宋体" w:hAnsi="宋体" w:cs="宋体"/>
        </w:rPr>
        <w:t>投标费用</w:t>
      </w:r>
    </w:p>
    <w:p>
      <w:pPr>
        <w:spacing w:line="360" w:lineRule="auto"/>
        <w:ind w:firstLine="400" w:firstLineChars="200"/>
        <w:rPr>
          <w:rFonts w:ascii="宋体" w:hAnsi="宋体" w:cs="宋体"/>
        </w:rPr>
      </w:pPr>
      <w:r>
        <w:rPr>
          <w:rFonts w:hint="eastAsia" w:ascii="宋体" w:hAnsi="宋体" w:cs="宋体"/>
        </w:rPr>
        <w:t>投标人应承担所有与准备和参加投标有关的费用。不论评标的结果如何，招标人在任何情况下均无义务和责任承担这些费用。</w:t>
      </w:r>
    </w:p>
    <w:p>
      <w:pPr>
        <w:pStyle w:val="2"/>
        <w:rPr>
          <w:rFonts w:cs="宋体"/>
          <w:sz w:val="20"/>
        </w:rPr>
      </w:pPr>
    </w:p>
    <w:p>
      <w:pPr>
        <w:numPr>
          <w:ilvl w:val="0"/>
          <w:numId w:val="8"/>
        </w:numPr>
        <w:rPr>
          <w:rFonts w:ascii="宋体" w:hAnsi="宋体" w:cs="宋体"/>
        </w:rPr>
      </w:pPr>
      <w:r>
        <w:rPr>
          <w:rFonts w:hint="eastAsia" w:ascii="宋体" w:hAnsi="宋体" w:cs="宋体"/>
        </w:rPr>
        <w:t>保密和知识产权</w:t>
      </w:r>
    </w:p>
    <w:p>
      <w:pPr>
        <w:widowControl w:val="0"/>
        <w:numPr>
          <w:ilvl w:val="0"/>
          <w:numId w:val="9"/>
        </w:numPr>
        <w:adjustRightInd w:val="0"/>
        <w:spacing w:line="360" w:lineRule="auto"/>
        <w:jc w:val="both"/>
        <w:textAlignment w:val="baseline"/>
        <w:rPr>
          <w:rFonts w:ascii="宋体" w:hAnsi="宋体" w:cs="宋体"/>
        </w:rPr>
      </w:pPr>
      <w:r>
        <w:rPr>
          <w:rFonts w:hint="eastAsia" w:ascii="宋体" w:hAnsi="宋体" w:cs="宋体"/>
        </w:rPr>
        <w:t>招标人对招标文件依法享有知识产权。</w:t>
      </w:r>
    </w:p>
    <w:p>
      <w:pPr>
        <w:widowControl w:val="0"/>
        <w:numPr>
          <w:ilvl w:val="0"/>
          <w:numId w:val="9"/>
        </w:numPr>
        <w:adjustRightInd w:val="0"/>
        <w:spacing w:line="360" w:lineRule="auto"/>
        <w:jc w:val="both"/>
        <w:textAlignment w:val="baseline"/>
        <w:rPr>
          <w:rFonts w:ascii="宋体" w:hAnsi="宋体" w:cs="宋体"/>
        </w:rPr>
      </w:pPr>
      <w:r>
        <w:rPr>
          <w:rFonts w:hint="eastAsia" w:ascii="宋体" w:hAnsi="宋体" w:cs="宋体"/>
        </w:rPr>
        <w:t>本招标文件所包含的信息属于保密信息，无招标人书面许可，任何单位或个人都无权披露、复制、使用、转让或者允许他人使用。领取招标文件的投标人被视为无条件对本招标文件的内容负有保密义务。</w:t>
      </w:r>
    </w:p>
    <w:p>
      <w:pPr>
        <w:widowControl w:val="0"/>
        <w:numPr>
          <w:ilvl w:val="0"/>
          <w:numId w:val="9"/>
        </w:numPr>
        <w:adjustRightInd w:val="0"/>
        <w:spacing w:line="360" w:lineRule="auto"/>
        <w:jc w:val="both"/>
        <w:textAlignment w:val="baseline"/>
        <w:rPr>
          <w:rFonts w:ascii="宋体" w:hAnsi="宋体" w:cs="宋体"/>
        </w:rPr>
      </w:pPr>
      <w:r>
        <w:rPr>
          <w:rFonts w:hint="eastAsia" w:ascii="宋体" w:hAnsi="宋体" w:cs="宋体"/>
        </w:rPr>
        <w:t>招标采购结束后，无论投标人是否成交，均应当对本招标文件履行保密承诺。</w:t>
      </w:r>
    </w:p>
    <w:p>
      <w:pPr>
        <w:widowControl w:val="0"/>
        <w:numPr>
          <w:ilvl w:val="0"/>
          <w:numId w:val="9"/>
        </w:numPr>
        <w:adjustRightInd w:val="0"/>
        <w:spacing w:line="360" w:lineRule="auto"/>
        <w:jc w:val="both"/>
        <w:textAlignment w:val="baseline"/>
        <w:rPr>
          <w:rFonts w:ascii="宋体" w:hAnsi="宋体" w:cs="宋体"/>
        </w:rPr>
      </w:pPr>
      <w:r>
        <w:rPr>
          <w:rFonts w:hint="eastAsia" w:ascii="宋体" w:hAnsi="宋体" w:cs="宋体"/>
        </w:rPr>
        <w:t>投标人未经招标人同意不得转让本招标文件。</w:t>
      </w:r>
    </w:p>
    <w:p>
      <w:pPr>
        <w:rPr>
          <w:rFonts w:ascii="宋体" w:hAnsi="宋体" w:cs="宋体"/>
        </w:rPr>
      </w:pPr>
    </w:p>
    <w:p>
      <w:pPr>
        <w:pStyle w:val="4"/>
        <w:widowControl w:val="0"/>
        <w:tabs>
          <w:tab w:val="left" w:pos="142"/>
          <w:tab w:val="left" w:pos="567"/>
        </w:tabs>
        <w:adjustRightInd/>
        <w:spacing w:before="0"/>
        <w:ind w:left="420" w:firstLine="6"/>
        <w:jc w:val="both"/>
        <w:textAlignment w:val="auto"/>
        <w:rPr>
          <w:rFonts w:ascii="宋体" w:hAnsi="宋体" w:eastAsia="宋体" w:cs="宋体"/>
          <w:sz w:val="20"/>
        </w:rPr>
      </w:pPr>
      <w:r>
        <w:rPr>
          <w:rFonts w:ascii="Times New Roman" w:hAnsi="Times New Roman" w:eastAsia="宋体"/>
          <w:sz w:val="20"/>
        </w:rPr>
        <w:t>二、招标文件</w:t>
      </w:r>
    </w:p>
    <w:p>
      <w:pPr>
        <w:numPr>
          <w:ilvl w:val="0"/>
          <w:numId w:val="10"/>
          <w:ins w:id="0" w:author="liyaqin" w:date="2021-03-16T11:22:06Z"/>
        </w:numPr>
        <w:ind w:firstLine="400" w:firstLineChars="200"/>
        <w:rPr>
          <w:rFonts w:ascii="宋体" w:hAnsi="宋体" w:cs="宋体"/>
        </w:rPr>
      </w:pPr>
      <w:r>
        <w:rPr>
          <w:rFonts w:ascii="宋体" w:hAnsi="宋体" w:cs="宋体"/>
        </w:rPr>
        <w:t>招标文件构成</w:t>
      </w:r>
    </w:p>
    <w:p>
      <w:pPr>
        <w:widowControl w:val="0"/>
        <w:numPr>
          <w:ilvl w:val="0"/>
          <w:numId w:val="11"/>
        </w:numPr>
        <w:adjustRightInd w:val="0"/>
        <w:spacing w:line="360" w:lineRule="auto"/>
        <w:jc w:val="both"/>
        <w:textAlignment w:val="baseline"/>
        <w:rPr>
          <w:rFonts w:ascii="宋体" w:hAnsi="宋体" w:cs="宋体"/>
        </w:rPr>
      </w:pPr>
      <w:r>
        <w:rPr>
          <w:rFonts w:ascii="宋体" w:hAnsi="宋体" w:cs="宋体"/>
        </w:rPr>
        <w:t>招标文件由招标文件总目录所列内容组成。</w:t>
      </w:r>
    </w:p>
    <w:p>
      <w:pPr>
        <w:widowControl w:val="0"/>
        <w:numPr>
          <w:ilvl w:val="0"/>
          <w:numId w:val="11"/>
        </w:numPr>
        <w:adjustRightInd w:val="0"/>
        <w:spacing w:line="360" w:lineRule="auto"/>
        <w:jc w:val="both"/>
        <w:textAlignment w:val="baseline"/>
        <w:rPr>
          <w:rFonts w:ascii="宋体" w:hAnsi="宋体" w:cs="宋体"/>
        </w:rPr>
      </w:pPr>
      <w:r>
        <w:rPr>
          <w:rFonts w:ascii="宋体" w:hAnsi="宋体" w:cs="宋体"/>
        </w:rPr>
        <w:t>投标人应认真阅读招标文件中所有的事项、格式、条款和技术规范等。投标人没有按照招标文件要求提交全部资料，或者投标没有对招标文件在各方面都做出实质性响应是投标人须承担的风险，并可能导致其投标被拒绝。</w:t>
      </w:r>
    </w:p>
    <w:p>
      <w:pPr>
        <w:rPr>
          <w:rFonts w:ascii="宋体" w:hAnsi="宋体" w:cs="宋体"/>
          <w:color w:val="000000"/>
        </w:rPr>
      </w:pPr>
    </w:p>
    <w:p>
      <w:pPr>
        <w:numPr>
          <w:ilvl w:val="0"/>
          <w:numId w:val="10"/>
          <w:ins w:id="1" w:author="liyaqin" w:date="2021-03-16T11:22:37Z"/>
        </w:numPr>
        <w:ind w:firstLine="400" w:firstLineChars="200"/>
        <w:rPr>
          <w:rFonts w:ascii="宋体" w:hAnsi="宋体" w:cs="宋体"/>
        </w:rPr>
      </w:pPr>
      <w:r>
        <w:rPr>
          <w:rFonts w:ascii="宋体" w:hAnsi="宋体" w:cs="宋体"/>
        </w:rPr>
        <w:t>招标文件的澄清</w:t>
      </w:r>
    </w:p>
    <w:p>
      <w:pPr>
        <w:widowControl w:val="0"/>
        <w:numPr>
          <w:ilvl w:val="0"/>
          <w:numId w:val="12"/>
        </w:numPr>
        <w:adjustRightInd w:val="0"/>
        <w:spacing w:line="360" w:lineRule="auto"/>
        <w:jc w:val="both"/>
        <w:textAlignment w:val="baseline"/>
        <w:rPr>
          <w:rFonts w:ascii="宋体" w:hAnsi="宋体" w:cs="宋体"/>
        </w:rPr>
      </w:pPr>
      <w:r>
        <w:rPr>
          <w:rFonts w:ascii="宋体" w:hAnsi="宋体" w:cs="宋体"/>
        </w:rPr>
        <w:t>任何要求对招标文件进行澄清的投标人，均应在投标文件递交截止期5日前以书面形式（加盖公章）通知招标人。招标人认为有必要的，在投标文件递交截止期日前以书面形式答复每一投标人（不包括问题的来源，答复的内容可能影响投标文件编制的，招标人应当在提交投标截止时间至少5日前，以书面形式通知所有获取招标文件的潜在投标人，不足5日的，招标人应当顺延递交投标文件的截止时间，投标人认为不需顺延递交投标文件截止时间的除外）。</w:t>
      </w:r>
    </w:p>
    <w:p>
      <w:pPr>
        <w:widowControl w:val="0"/>
        <w:numPr>
          <w:ilvl w:val="0"/>
          <w:numId w:val="12"/>
        </w:numPr>
        <w:adjustRightInd w:val="0"/>
        <w:spacing w:line="360" w:lineRule="auto"/>
        <w:jc w:val="both"/>
        <w:textAlignment w:val="baseline"/>
        <w:rPr>
          <w:rFonts w:ascii="宋体" w:hAnsi="宋体" w:cs="宋体"/>
        </w:rPr>
      </w:pPr>
      <w:r>
        <w:rPr>
          <w:rFonts w:ascii="宋体" w:hAnsi="宋体" w:cs="宋体"/>
        </w:rPr>
        <w:t>任何对招标文件的澄清均为招标文件的组成部分，并具有同等的法律效力。如招标文件的澄清与原招标文件有矛盾，以日期后者为准。</w:t>
      </w:r>
    </w:p>
    <w:p>
      <w:pPr>
        <w:widowControl w:val="0"/>
        <w:numPr>
          <w:ilvl w:val="0"/>
          <w:numId w:val="12"/>
        </w:numPr>
        <w:adjustRightInd w:val="0"/>
        <w:spacing w:line="360" w:lineRule="auto"/>
        <w:jc w:val="both"/>
        <w:textAlignment w:val="baseline"/>
        <w:rPr>
          <w:rFonts w:ascii="宋体" w:hAnsi="宋体" w:cs="宋体"/>
        </w:rPr>
      </w:pPr>
      <w:r>
        <w:rPr>
          <w:rFonts w:ascii="宋体" w:hAnsi="宋体" w:cs="宋体"/>
        </w:rPr>
        <w:t>投标人收到招标人的澄清回复、招标文件澄清后，应按招标人要求的方式向招标人确认收到上述文件。</w:t>
      </w:r>
    </w:p>
    <w:p>
      <w:pPr>
        <w:widowControl w:val="0"/>
        <w:numPr>
          <w:ilvl w:val="0"/>
          <w:numId w:val="12"/>
        </w:numPr>
        <w:adjustRightInd w:val="0"/>
        <w:spacing w:line="360" w:lineRule="auto"/>
        <w:jc w:val="both"/>
        <w:textAlignment w:val="baseline"/>
        <w:rPr>
          <w:rFonts w:ascii="宋体" w:hAnsi="宋体" w:cs="宋体"/>
        </w:rPr>
      </w:pPr>
      <w:r>
        <w:rPr>
          <w:rFonts w:ascii="宋体" w:hAnsi="宋体" w:cs="宋体"/>
        </w:rPr>
        <w:t>为使投标人有充分的时间对招标文件的澄清进行研究以便准备投标文件，招标人可酌情推迟投标的截止日期和开标日期，并将此变更通知每一投标人。</w:t>
      </w:r>
    </w:p>
    <w:p>
      <w:pPr>
        <w:rPr>
          <w:rFonts w:ascii="宋体" w:hAnsi="宋体" w:cs="宋体"/>
          <w:color w:val="000000"/>
        </w:rPr>
      </w:pPr>
    </w:p>
    <w:p>
      <w:pPr>
        <w:numPr>
          <w:ilvl w:val="0"/>
          <w:numId w:val="10"/>
          <w:ins w:id="2" w:author="liyaqin" w:date="2021-03-16T11:22:58Z"/>
        </w:numPr>
        <w:ind w:firstLine="400" w:firstLineChars="200"/>
        <w:rPr>
          <w:rFonts w:ascii="宋体" w:hAnsi="宋体" w:cs="宋体"/>
        </w:rPr>
      </w:pPr>
      <w:r>
        <w:rPr>
          <w:rFonts w:ascii="宋体" w:hAnsi="宋体" w:cs="宋体"/>
        </w:rPr>
        <w:t>招标文件的修改</w:t>
      </w:r>
    </w:p>
    <w:p>
      <w:pPr>
        <w:widowControl w:val="0"/>
        <w:numPr>
          <w:ilvl w:val="0"/>
          <w:numId w:val="13"/>
        </w:numPr>
        <w:adjustRightInd w:val="0"/>
        <w:spacing w:line="360" w:lineRule="auto"/>
        <w:jc w:val="both"/>
        <w:textAlignment w:val="baseline"/>
        <w:rPr>
          <w:rFonts w:ascii="宋体" w:hAnsi="宋体" w:cs="宋体"/>
        </w:rPr>
      </w:pPr>
      <w:r>
        <w:rPr>
          <w:rFonts w:ascii="宋体" w:hAnsi="宋体" w:cs="宋体"/>
        </w:rPr>
        <w:t>在投标截止时间前，招标人无论出于自己的考虑，还是出于对投标人提问的澄清，均可对招标文件采用补充文件的方式进行修改。</w:t>
      </w:r>
    </w:p>
    <w:p>
      <w:pPr>
        <w:widowControl w:val="0"/>
        <w:numPr>
          <w:ilvl w:val="0"/>
          <w:numId w:val="13"/>
        </w:numPr>
        <w:adjustRightInd w:val="0"/>
        <w:spacing w:line="360" w:lineRule="auto"/>
        <w:jc w:val="both"/>
        <w:textAlignment w:val="baseline"/>
        <w:rPr>
          <w:rFonts w:ascii="宋体" w:hAnsi="宋体" w:cs="宋体"/>
        </w:rPr>
      </w:pPr>
      <w:r>
        <w:rPr>
          <w:rFonts w:ascii="宋体" w:hAnsi="宋体" w:cs="宋体"/>
        </w:rPr>
        <w:t>任何要求对招标文件进行修改的投标人，均应在投标文件递交截止期10日前以书面形式（加盖公章）通知招标人。招标人认为有必要的，在投标文件递交截止期日前以书面形式答复每一投标人（不包括问题的来源，答复的内容可能影响投标文件编制的，招标人应当在提交投标截止时间至少15日前，以书面形式通知所有获取招标文件的潜在投标人，不足15日的，招标人应当顺延递交投标文件的截止时间，投标人认为不需顺延递交投标文件截止时间的除外）。</w:t>
      </w:r>
    </w:p>
    <w:p>
      <w:pPr>
        <w:widowControl w:val="0"/>
        <w:numPr>
          <w:ilvl w:val="0"/>
          <w:numId w:val="13"/>
        </w:numPr>
        <w:adjustRightInd w:val="0"/>
        <w:spacing w:line="360" w:lineRule="auto"/>
        <w:jc w:val="both"/>
        <w:textAlignment w:val="baseline"/>
        <w:rPr>
          <w:rFonts w:ascii="宋体" w:hAnsi="宋体" w:cs="宋体"/>
        </w:rPr>
      </w:pPr>
      <w:r>
        <w:rPr>
          <w:rFonts w:ascii="宋体" w:hAnsi="宋体" w:cs="宋体"/>
        </w:rPr>
        <w:t>为使投标人有足够的时间按招标文件的修改要求考虑修正投标文件，招标人可酌情推迟投标的截止日期和开标日期，并将此变更以书面方式通知每一投标人。</w:t>
      </w:r>
    </w:p>
    <w:p>
      <w:pPr>
        <w:widowControl w:val="0"/>
        <w:numPr>
          <w:ilvl w:val="0"/>
          <w:numId w:val="13"/>
        </w:numPr>
        <w:adjustRightInd w:val="0"/>
        <w:spacing w:line="360" w:lineRule="auto"/>
        <w:jc w:val="both"/>
        <w:textAlignment w:val="baseline"/>
        <w:rPr>
          <w:rFonts w:ascii="宋体" w:hAnsi="宋体" w:cs="宋体"/>
        </w:rPr>
      </w:pPr>
      <w:r>
        <w:rPr>
          <w:rFonts w:ascii="宋体" w:hAnsi="宋体" w:cs="宋体"/>
        </w:rPr>
        <w:t>投标人在招投标期间应及时关注招标人发送的通知、澄清或修改，并及时按招标人要求回复确认，否则由此引发相应后果由投标人自行承担。</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三、投标文件的编制</w:t>
      </w:r>
    </w:p>
    <w:p>
      <w:pPr>
        <w:numPr>
          <w:ilvl w:val="0"/>
          <w:numId w:val="14"/>
          <w:ins w:id="3" w:author="liyaqin" w:date="2021-03-16T11:23:09Z"/>
        </w:numPr>
        <w:ind w:firstLine="400" w:firstLineChars="200"/>
        <w:rPr>
          <w:rFonts w:ascii="宋体" w:hAnsi="宋体" w:cs="宋体"/>
        </w:rPr>
      </w:pPr>
      <w:r>
        <w:rPr>
          <w:rFonts w:hint="eastAsia" w:ascii="宋体" w:hAnsi="宋体" w:cs="宋体"/>
        </w:rPr>
        <w:t>投标文件编制的原则</w:t>
      </w:r>
    </w:p>
    <w:p>
      <w:pPr>
        <w:widowControl w:val="0"/>
        <w:numPr>
          <w:ilvl w:val="0"/>
          <w:numId w:val="15"/>
        </w:numPr>
        <w:adjustRightInd w:val="0"/>
        <w:spacing w:line="360" w:lineRule="auto"/>
        <w:jc w:val="both"/>
        <w:textAlignment w:val="baseline"/>
        <w:rPr>
          <w:rFonts w:ascii="宋体" w:hAnsi="宋体" w:cs="宋体"/>
        </w:rPr>
      </w:pPr>
      <w:r>
        <w:rPr>
          <w:rFonts w:hint="eastAsia" w:ascii="宋体" w:hAnsi="宋体" w:cs="宋体"/>
        </w:rPr>
        <w:t>投标人应在认真阅读招标文件所有内容的基础上，按照招标文件的要求编制完整的投标文件。招标文件中对投标文件格式有要求的，投标人应按格式逐项填写内容，不准有空项；无相应内容可填的项应填写“无”、“没有相应指标”等明确的回答文字。投标文件中留有空项的，将被视为不完整响应的投标文件，其投标将有可能被拒绝。</w:t>
      </w:r>
    </w:p>
    <w:p>
      <w:pPr>
        <w:widowControl w:val="0"/>
        <w:numPr>
          <w:ilvl w:val="0"/>
          <w:numId w:val="15"/>
        </w:numPr>
        <w:adjustRightInd w:val="0"/>
        <w:spacing w:line="360" w:lineRule="auto"/>
        <w:jc w:val="both"/>
        <w:textAlignment w:val="baseline"/>
        <w:rPr>
          <w:rFonts w:ascii="宋体" w:hAnsi="宋体" w:cs="宋体"/>
        </w:rPr>
      </w:pPr>
      <w:r>
        <w:rPr>
          <w:rFonts w:hint="eastAsia" w:ascii="宋体" w:hAnsi="宋体" w:cs="宋体"/>
          <w:lang w:val="en-US" w:eastAsia="zh-Hans"/>
        </w:rPr>
        <w:t>投</w:t>
      </w:r>
      <w:r>
        <w:rPr>
          <w:rFonts w:hint="eastAsia" w:ascii="宋体" w:hAnsi="宋体" w:cs="宋体"/>
        </w:rPr>
        <w:t>标人必须保证投标文件所提供的全部资料真实可靠，并接受招标人对其中任何资料进一步审查的要求。</w:t>
      </w:r>
    </w:p>
    <w:p>
      <w:pPr>
        <w:widowControl w:val="0"/>
        <w:numPr>
          <w:ilvl w:val="0"/>
          <w:numId w:val="15"/>
        </w:numPr>
        <w:adjustRightInd w:val="0"/>
        <w:spacing w:line="360" w:lineRule="auto"/>
        <w:jc w:val="both"/>
        <w:textAlignment w:val="baseline"/>
        <w:rPr>
          <w:rFonts w:ascii="宋体" w:hAnsi="宋体" w:cs="宋体"/>
        </w:rPr>
      </w:pPr>
      <w:r>
        <w:rPr>
          <w:rFonts w:hint="eastAsia" w:ascii="宋体" w:hAnsi="宋体" w:cs="宋体"/>
        </w:rPr>
        <w:t>投标文件须对招标文件中的内容做出实质性和完整的响应，否则其投标将被拒绝</w:t>
      </w:r>
      <w:r>
        <w:rPr>
          <w:rFonts w:hint="eastAsia" w:ascii="宋体" w:hAnsi="宋体" w:cs="宋体"/>
          <w:lang w:eastAsia="zh-Hans"/>
        </w:rPr>
        <w:t>。</w:t>
      </w:r>
    </w:p>
    <w:p>
      <w:pPr>
        <w:pStyle w:val="2"/>
        <w:rPr>
          <w:rFonts w:cs="宋体"/>
          <w:sz w:val="20"/>
        </w:rPr>
      </w:pPr>
    </w:p>
    <w:p>
      <w:pPr>
        <w:numPr>
          <w:ilvl w:val="0"/>
          <w:numId w:val="14"/>
          <w:ins w:id="4" w:author="liyaqin" w:date="2021-03-16T11:23:16Z"/>
        </w:numPr>
        <w:ind w:firstLine="400" w:firstLineChars="200"/>
        <w:rPr>
          <w:rFonts w:ascii="宋体" w:hAnsi="宋体" w:cs="宋体"/>
        </w:rPr>
      </w:pPr>
      <w:r>
        <w:rPr>
          <w:rFonts w:hint="eastAsia" w:ascii="宋体" w:hAnsi="宋体" w:cs="宋体"/>
        </w:rPr>
        <w:t>投标的语言和计量单位</w:t>
      </w:r>
    </w:p>
    <w:p>
      <w:pPr>
        <w:widowControl w:val="0"/>
        <w:numPr>
          <w:ilvl w:val="0"/>
          <w:numId w:val="16"/>
        </w:numPr>
        <w:adjustRightInd w:val="0"/>
        <w:spacing w:line="360" w:lineRule="auto"/>
        <w:jc w:val="both"/>
        <w:textAlignment w:val="baseline"/>
        <w:rPr>
          <w:rFonts w:ascii="宋体" w:hAnsi="宋体" w:cs="宋体"/>
        </w:rPr>
      </w:pPr>
      <w:r>
        <w:rPr>
          <w:rFonts w:hint="eastAsia" w:ascii="宋体" w:hAnsi="宋体" w:cs="宋体"/>
        </w:rPr>
        <w:t>投标人提交的投标文件以及投标人与招标人就有关投标的所有来往函电均应使用投标人须知前附表规定的语言书写。投标人提交的支持文件和印制的文献可以用另一种语言，但相应内容应附有中文（汉语）的翻译本，在解释投标文件时以中文（汉语）为准。</w:t>
      </w:r>
    </w:p>
    <w:p>
      <w:pPr>
        <w:widowControl w:val="0"/>
        <w:numPr>
          <w:ilvl w:val="0"/>
          <w:numId w:val="16"/>
        </w:numPr>
        <w:adjustRightInd w:val="0"/>
        <w:spacing w:line="360" w:lineRule="auto"/>
        <w:jc w:val="both"/>
        <w:textAlignment w:val="baseline"/>
        <w:rPr>
          <w:rFonts w:ascii="宋体" w:hAnsi="宋体" w:cs="宋体"/>
        </w:rPr>
      </w:pPr>
      <w:r>
        <w:rPr>
          <w:rFonts w:hint="eastAsia" w:ascii="宋体" w:hAnsi="宋体" w:cs="宋体"/>
        </w:rPr>
        <w:t>投标文件中所有的计量单位，除招标文件中有特殊要求外，应采用国家法定计量单位。</w:t>
      </w:r>
    </w:p>
    <w:p>
      <w:pPr>
        <w:pStyle w:val="2"/>
        <w:rPr>
          <w:rFonts w:cs="宋体"/>
          <w:sz w:val="20"/>
        </w:rPr>
      </w:pPr>
    </w:p>
    <w:p>
      <w:pPr>
        <w:numPr>
          <w:ilvl w:val="0"/>
          <w:numId w:val="14"/>
          <w:ins w:id="5" w:author="liyaqin" w:date="2021-03-16T11:23:19Z"/>
        </w:numPr>
        <w:ind w:firstLine="400" w:firstLineChars="200"/>
        <w:rPr>
          <w:rFonts w:ascii="宋体" w:hAnsi="宋体" w:cs="宋体"/>
        </w:rPr>
      </w:pPr>
      <w:r>
        <w:rPr>
          <w:rFonts w:hint="eastAsia" w:ascii="宋体" w:hAnsi="宋体" w:cs="宋体"/>
        </w:rPr>
        <w:t>投标文件的构成</w:t>
      </w:r>
    </w:p>
    <w:p>
      <w:pPr>
        <w:widowControl w:val="0"/>
        <w:numPr>
          <w:ilvl w:val="0"/>
          <w:numId w:val="17"/>
        </w:numPr>
        <w:adjustRightInd w:val="0"/>
        <w:spacing w:line="360" w:lineRule="auto"/>
        <w:jc w:val="both"/>
        <w:textAlignment w:val="baseline"/>
        <w:rPr>
          <w:rFonts w:ascii="宋体" w:hAnsi="宋体" w:cs="宋体"/>
        </w:rPr>
      </w:pPr>
      <w:r>
        <w:rPr>
          <w:rFonts w:hint="eastAsia" w:ascii="宋体" w:hAnsi="宋体" w:cs="宋体"/>
        </w:rPr>
        <w:t>每个投标人只能提交一份投标文件。提交了一个以上的投标文件的投标人，其参与的投标</w:t>
      </w:r>
      <w:r>
        <w:rPr>
          <w:rFonts w:hint="eastAsia" w:ascii="宋体" w:hAnsi="宋体" w:cs="宋体"/>
          <w:lang w:val="en-US" w:eastAsia="zh-Hans"/>
        </w:rPr>
        <w:t>文件以最后一次提交的为准，其余</w:t>
      </w:r>
      <w:r>
        <w:rPr>
          <w:rFonts w:hint="eastAsia" w:ascii="宋体" w:hAnsi="宋体" w:cs="宋体"/>
        </w:rPr>
        <w:t>将被视为无效。</w:t>
      </w:r>
    </w:p>
    <w:p>
      <w:pPr>
        <w:widowControl w:val="0"/>
        <w:numPr>
          <w:ilvl w:val="0"/>
          <w:numId w:val="17"/>
        </w:numPr>
        <w:adjustRightInd w:val="0"/>
        <w:spacing w:line="360" w:lineRule="auto"/>
        <w:jc w:val="both"/>
        <w:textAlignment w:val="baseline"/>
        <w:rPr>
          <w:rFonts w:ascii="宋体" w:hAnsi="宋体" w:cs="宋体"/>
        </w:rPr>
      </w:pPr>
      <w:r>
        <w:rPr>
          <w:rFonts w:hint="eastAsia" w:ascii="宋体" w:hAnsi="宋体" w:cs="宋体"/>
        </w:rPr>
        <w:t>投标文件的构成</w:t>
      </w:r>
    </w:p>
    <w:p>
      <w:pPr>
        <w:widowControl w:val="0"/>
        <w:numPr>
          <w:ilvl w:val="0"/>
          <w:numId w:val="17"/>
        </w:numPr>
        <w:adjustRightInd w:val="0"/>
        <w:spacing w:line="360" w:lineRule="auto"/>
        <w:jc w:val="both"/>
        <w:textAlignment w:val="baseline"/>
        <w:rPr>
          <w:rFonts w:ascii="宋体" w:hAnsi="宋体" w:cs="宋体"/>
        </w:rPr>
      </w:pPr>
      <w:r>
        <w:rPr>
          <w:rFonts w:hint="eastAsia" w:ascii="宋体" w:hAnsi="宋体" w:cs="宋体"/>
        </w:rPr>
        <w:t>商务文件，包括：</w:t>
      </w:r>
    </w:p>
    <w:p>
      <w:pPr>
        <w:rPr>
          <w:rFonts w:ascii="宋体" w:hAnsi="宋体" w:cs="宋体"/>
        </w:rPr>
      </w:pPr>
      <w:r>
        <w:rPr>
          <w:rFonts w:hint="eastAsia" w:ascii="宋体" w:hAnsi="宋体" w:cs="宋体"/>
        </w:rPr>
        <w:t>（1）投标函，格式见本招标文件附件。</w:t>
      </w:r>
    </w:p>
    <w:p>
      <w:pPr>
        <w:rPr>
          <w:rFonts w:ascii="宋体" w:hAnsi="宋体" w:cs="宋体"/>
        </w:rPr>
      </w:pPr>
      <w:r>
        <w:rPr>
          <w:rFonts w:hint="eastAsia" w:ascii="宋体" w:hAnsi="宋体" w:cs="宋体"/>
        </w:rPr>
        <w:t>（2）资格证明文件。</w:t>
      </w:r>
    </w:p>
    <w:p>
      <w:pPr>
        <w:rPr>
          <w:rFonts w:ascii="宋体" w:hAnsi="宋体" w:cs="宋体"/>
        </w:rPr>
      </w:pPr>
      <w:r>
        <w:rPr>
          <w:rFonts w:hint="eastAsia" w:ascii="宋体" w:hAnsi="宋体" w:cs="宋体"/>
        </w:rPr>
        <w:t>（a）法定代表人授权书（投标人无法定代表人的，可提供负责人的授权证明），格式见本招标文件附件；</w:t>
      </w:r>
    </w:p>
    <w:p>
      <w:pPr>
        <w:rPr>
          <w:rFonts w:ascii="宋体" w:hAnsi="宋体" w:cs="宋体"/>
          <w:color w:val="000000"/>
        </w:rPr>
      </w:pPr>
      <w:r>
        <w:rPr>
          <w:rFonts w:hint="eastAsia" w:ascii="宋体" w:hAnsi="宋体" w:cs="宋体"/>
        </w:rPr>
        <w:t>（b）</w:t>
      </w:r>
      <w:r>
        <w:rPr>
          <w:rFonts w:hint="eastAsia" w:ascii="宋体" w:hAnsi="宋体" w:cs="宋体"/>
          <w:color w:val="000000"/>
        </w:rPr>
        <w:t>企业法人营业执照副本复印件（或具有同等法律效力的证照）；</w:t>
      </w:r>
    </w:p>
    <w:p>
      <w:pPr>
        <w:rPr>
          <w:rFonts w:ascii="宋体" w:hAnsi="宋体" w:cs="宋体"/>
          <w:color w:val="000000"/>
        </w:rPr>
      </w:pPr>
      <w:r>
        <w:rPr>
          <w:rFonts w:hint="eastAsia" w:ascii="宋体" w:hAnsi="宋体" w:cs="宋体"/>
          <w:color w:val="000000"/>
        </w:rPr>
        <w:t>（c）</w:t>
      </w:r>
      <w:r>
        <w:rPr>
          <w:rFonts w:hint="eastAsia" w:ascii="宋体" w:hAnsi="宋体" w:cs="宋体"/>
          <w:color w:val="000000"/>
          <w:kern w:val="0"/>
        </w:rPr>
        <w:t>相关资质证书（如有）</w:t>
      </w:r>
      <w:r>
        <w:rPr>
          <w:rFonts w:hint="eastAsia" w:ascii="宋体" w:hAnsi="宋体" w:cs="宋体"/>
          <w:color w:val="000000"/>
        </w:rPr>
        <w:t>，格式见本招标文件附件</w:t>
      </w:r>
      <w:r>
        <w:rPr>
          <w:rFonts w:hint="eastAsia" w:ascii="宋体" w:hAnsi="宋体" w:cs="宋体"/>
          <w:color w:val="000000"/>
          <w:kern w:val="0"/>
        </w:rPr>
        <w:t>；</w:t>
      </w:r>
    </w:p>
    <w:p>
      <w:pPr>
        <w:rPr>
          <w:rFonts w:ascii="宋体" w:hAnsi="宋体" w:cs="宋体"/>
          <w:color w:val="000000"/>
        </w:rPr>
      </w:pPr>
      <w:r>
        <w:rPr>
          <w:rFonts w:hint="eastAsia" w:ascii="宋体" w:hAnsi="宋体" w:cs="宋体"/>
          <w:color w:val="000000"/>
          <w:kern w:val="0"/>
        </w:rPr>
        <w:t>（d）廉洁承诺书，格式见</w:t>
      </w:r>
      <w:r>
        <w:rPr>
          <w:rFonts w:hint="eastAsia" w:ascii="宋体" w:hAnsi="宋体" w:cs="宋体"/>
          <w:color w:val="000000"/>
        </w:rPr>
        <w:t>本招标文件附件</w:t>
      </w:r>
      <w:r>
        <w:rPr>
          <w:rFonts w:hint="eastAsia" w:ascii="宋体" w:hAnsi="宋体" w:cs="宋体"/>
          <w:color w:val="000000"/>
          <w:kern w:val="0"/>
        </w:rPr>
        <w:t>；</w:t>
      </w:r>
    </w:p>
    <w:p>
      <w:pPr>
        <w:rPr>
          <w:rFonts w:ascii="宋体" w:hAnsi="宋体" w:cs="宋体"/>
          <w:color w:val="000000"/>
        </w:rPr>
      </w:pPr>
      <w:r>
        <w:rPr>
          <w:rFonts w:hint="eastAsia" w:ascii="宋体" w:hAnsi="宋体" w:cs="宋体"/>
          <w:color w:val="000000"/>
        </w:rPr>
        <w:t>（e）礼品代理授权函（如有），格式见本招标文件附件；</w:t>
      </w:r>
    </w:p>
    <w:p>
      <w:pPr>
        <w:rPr>
          <w:rFonts w:ascii="宋体" w:hAnsi="宋体" w:cs="宋体"/>
          <w:color w:val="000000"/>
        </w:rPr>
      </w:pPr>
      <w:r>
        <w:rPr>
          <w:rFonts w:hint="eastAsia" w:ascii="宋体" w:hAnsi="宋体" w:cs="宋体"/>
          <w:color w:val="000000"/>
        </w:rPr>
        <w:t>（f）投标人关联关系单位披露表，格式见本招标文件附件；</w:t>
      </w:r>
    </w:p>
    <w:p>
      <w:pPr>
        <w:rPr>
          <w:rFonts w:ascii="宋体" w:hAnsi="宋体" w:cs="宋体"/>
          <w:color w:val="000000"/>
        </w:rPr>
      </w:pPr>
      <w:r>
        <w:rPr>
          <w:rFonts w:hint="eastAsia" w:ascii="宋体" w:hAnsi="宋体" w:cs="宋体"/>
          <w:color w:val="000000"/>
        </w:rPr>
        <w:t>（g）信用中国网站截图或信用报告，格式见本招标文件附件</w:t>
      </w:r>
      <w:r>
        <w:rPr>
          <w:rFonts w:hint="eastAsia" w:ascii="宋体" w:hAnsi="宋体" w:cs="宋体"/>
          <w:color w:val="000000"/>
          <w:kern w:val="0"/>
        </w:rPr>
        <w:t>。</w:t>
      </w:r>
    </w:p>
    <w:p>
      <w:pPr>
        <w:widowControl w:val="0"/>
        <w:numPr>
          <w:ilvl w:val="0"/>
          <w:numId w:val="17"/>
        </w:numPr>
        <w:adjustRightInd w:val="0"/>
        <w:spacing w:line="360" w:lineRule="auto"/>
        <w:jc w:val="both"/>
        <w:textAlignment w:val="baseline"/>
        <w:rPr>
          <w:rFonts w:ascii="宋体" w:hAnsi="宋体" w:cs="宋体"/>
        </w:rPr>
      </w:pPr>
      <w:r>
        <w:rPr>
          <w:rFonts w:hint="eastAsia" w:ascii="宋体" w:hAnsi="宋体" w:cs="宋体"/>
        </w:rPr>
        <w:t>投标人介绍及业绩</w:t>
      </w:r>
    </w:p>
    <w:p>
      <w:pPr>
        <w:rPr>
          <w:rFonts w:ascii="宋体" w:hAnsi="宋体" w:cs="宋体"/>
          <w:color w:val="000000"/>
        </w:rPr>
      </w:pPr>
      <w:r>
        <w:rPr>
          <w:rFonts w:hint="eastAsia" w:ascii="宋体" w:hAnsi="宋体" w:cs="宋体"/>
          <w:color w:val="000000"/>
        </w:rPr>
        <w:t>（a）投标人简介PPT，包含但不限于公司介绍、竞争优势、售后物流保障、运营能力等，格式见本招标文件附件；</w:t>
      </w:r>
    </w:p>
    <w:p>
      <w:pPr>
        <w:rPr>
          <w:rFonts w:ascii="宋体" w:hAnsi="宋体" w:cs="宋体"/>
          <w:color w:val="000000"/>
        </w:rPr>
      </w:pPr>
      <w:r>
        <w:rPr>
          <w:rFonts w:hint="eastAsia" w:ascii="宋体" w:hAnsi="宋体" w:cs="宋体"/>
          <w:color w:val="000000"/>
        </w:rPr>
        <w:t>（b）财务状况，列明投标人近三年主要财务指标，格式见本招标文件附件，如投标人成立时间较短无法提供近三年财务状况的，则按照实际成立时间提供相应年份的财务状况；</w:t>
      </w:r>
    </w:p>
    <w:p>
      <w:pPr>
        <w:rPr>
          <w:rFonts w:ascii="宋体" w:hAnsi="宋体" w:cs="宋体"/>
          <w:color w:val="000000"/>
        </w:rPr>
      </w:pPr>
      <w:r>
        <w:rPr>
          <w:rFonts w:hint="eastAsia" w:ascii="宋体" w:hAnsi="宋体" w:cs="宋体"/>
          <w:color w:val="000000"/>
        </w:rPr>
        <w:t>（c）投标人认为需提供的其他文件或证书复印件。</w:t>
      </w:r>
    </w:p>
    <w:p>
      <w:pPr>
        <w:widowControl w:val="0"/>
        <w:numPr>
          <w:ilvl w:val="0"/>
          <w:numId w:val="17"/>
        </w:numPr>
        <w:adjustRightInd w:val="0"/>
        <w:spacing w:line="360" w:lineRule="auto"/>
        <w:jc w:val="both"/>
        <w:textAlignment w:val="baseline"/>
        <w:rPr>
          <w:rFonts w:ascii="宋体" w:hAnsi="宋体" w:cs="宋体"/>
        </w:rPr>
      </w:pPr>
      <w:r>
        <w:rPr>
          <w:rFonts w:hint="eastAsia" w:ascii="宋体" w:hAnsi="宋体" w:cs="宋体"/>
        </w:rPr>
        <w:t>其他招标文件附件中要求投标人提交的文件材料。</w:t>
      </w:r>
    </w:p>
    <w:p>
      <w:pPr>
        <w:rPr>
          <w:rFonts w:ascii="宋体" w:hAnsi="宋体" w:cs="宋体"/>
          <w:color w:val="000000"/>
        </w:rPr>
      </w:pPr>
      <w:r>
        <w:rPr>
          <w:rFonts w:hint="eastAsia" w:ascii="宋体" w:hAnsi="宋体" w:cs="宋体"/>
          <w:b/>
          <w:color w:val="000000"/>
        </w:rPr>
        <w:t>投标人提供的以上材料必须真实有效，提供任何的虚假材料将导致其投标响应被拒绝。</w:t>
      </w:r>
    </w:p>
    <w:p>
      <w:pPr>
        <w:widowControl w:val="0"/>
        <w:numPr>
          <w:ilvl w:val="0"/>
          <w:numId w:val="18"/>
        </w:numPr>
        <w:adjustRightInd w:val="0"/>
        <w:spacing w:line="360" w:lineRule="auto"/>
        <w:jc w:val="both"/>
        <w:textAlignment w:val="baseline"/>
        <w:rPr>
          <w:rFonts w:ascii="宋体" w:hAnsi="宋体" w:cs="宋体"/>
        </w:rPr>
      </w:pPr>
      <w:r>
        <w:rPr>
          <w:rFonts w:hint="eastAsia" w:ascii="宋体" w:hAnsi="宋体" w:cs="宋体"/>
        </w:rPr>
        <w:t>技术文件</w:t>
      </w:r>
    </w:p>
    <w:p>
      <w:pPr>
        <w:rPr>
          <w:rFonts w:ascii="宋体" w:hAnsi="宋体" w:cs="宋体"/>
          <w:color w:val="000000"/>
        </w:rPr>
      </w:pPr>
      <w:r>
        <w:rPr>
          <w:rFonts w:hint="eastAsia" w:ascii="宋体" w:hAnsi="宋体" w:cs="宋体"/>
          <w:color w:val="000000"/>
        </w:rPr>
        <w:t>投标人须对本招标文件提出的需求进行逐项应答，并提交以下材料：（根据项目需求、评标办法编制，具体要求见本招标文件附件）</w:t>
      </w:r>
    </w:p>
    <w:p>
      <w:pPr>
        <w:rPr>
          <w:rFonts w:ascii="宋体" w:hAnsi="宋体" w:cs="宋体"/>
          <w:color w:val="000000"/>
        </w:rPr>
      </w:pPr>
      <w:r>
        <w:rPr>
          <w:rFonts w:hint="eastAsia" w:ascii="宋体" w:hAnsi="宋体" w:cs="宋体"/>
          <w:color w:val="000000"/>
        </w:rPr>
        <w:t>（1）货物型号：对所采购的货物型号、供货来源等进行描述。</w:t>
      </w:r>
    </w:p>
    <w:p>
      <w:pPr>
        <w:rPr>
          <w:rFonts w:ascii="宋体" w:hAnsi="宋体" w:cs="宋体"/>
          <w:color w:val="000000"/>
        </w:rPr>
      </w:pPr>
      <w:r>
        <w:rPr>
          <w:rFonts w:hint="eastAsia" w:ascii="宋体" w:hAnsi="宋体" w:cs="宋体"/>
          <w:color w:val="000000"/>
        </w:rPr>
        <w:t>（2）服务体系：包括物流仓储、系统对接、客服、退换货方案等。</w:t>
      </w:r>
    </w:p>
    <w:p>
      <w:pPr>
        <w:rPr>
          <w:rFonts w:ascii="宋体" w:hAnsi="宋体" w:cs="宋体"/>
          <w:b/>
          <w:color w:val="000000"/>
        </w:rPr>
      </w:pPr>
      <w:r>
        <w:rPr>
          <w:rFonts w:hint="eastAsia" w:ascii="宋体" w:hAnsi="宋体" w:cs="宋体"/>
          <w:b/>
          <w:color w:val="000000"/>
        </w:rPr>
        <w:t>可融入投标人简介PPT中展现。</w:t>
      </w:r>
    </w:p>
    <w:p>
      <w:pPr>
        <w:pStyle w:val="2"/>
      </w:pPr>
    </w:p>
    <w:p>
      <w:pPr>
        <w:numPr>
          <w:ilvl w:val="0"/>
          <w:numId w:val="14"/>
          <w:ins w:id="6" w:author="liyaqin" w:date="2021-03-16T11:24:08Z"/>
        </w:numPr>
        <w:ind w:firstLine="400" w:firstLineChars="200"/>
        <w:rPr>
          <w:rFonts w:hint="eastAsia" w:ascii="宋体" w:hAnsi="宋体" w:cs="宋体"/>
          <w:sz w:val="20"/>
        </w:rPr>
      </w:pPr>
      <w:r>
        <w:rPr>
          <w:rFonts w:hint="eastAsia" w:ascii="宋体" w:hAnsi="宋体" w:cs="宋体"/>
          <w:sz w:val="20"/>
        </w:rPr>
        <w:t>投标报价</w:t>
      </w:r>
    </w:p>
    <w:p>
      <w:pPr>
        <w:widowControl w:val="0"/>
        <w:numPr>
          <w:ilvl w:val="0"/>
          <w:numId w:val="19"/>
        </w:numPr>
        <w:adjustRightInd w:val="0"/>
        <w:spacing w:line="360" w:lineRule="auto"/>
        <w:jc w:val="both"/>
        <w:textAlignment w:val="baseline"/>
        <w:rPr>
          <w:rFonts w:ascii="宋体" w:hAnsi="宋体" w:cs="宋体"/>
        </w:rPr>
      </w:pPr>
      <w:r>
        <w:rPr>
          <w:rFonts w:ascii="宋体" w:hAnsi="宋体" w:cs="宋体"/>
        </w:rPr>
        <w:t>投标人按照本项目提供的二级类目上报折扣，投标折扣为一件代发折扣价。</w:t>
      </w:r>
    </w:p>
    <w:p>
      <w:pPr>
        <w:widowControl w:val="0"/>
        <w:numPr>
          <w:ilvl w:val="0"/>
          <w:numId w:val="19"/>
        </w:numPr>
        <w:adjustRightInd w:val="0"/>
        <w:spacing w:line="360" w:lineRule="auto"/>
        <w:jc w:val="both"/>
        <w:textAlignment w:val="baseline"/>
        <w:rPr>
          <w:rFonts w:ascii="宋体" w:hAnsi="宋体" w:cs="宋体"/>
        </w:rPr>
      </w:pPr>
      <w:r>
        <w:rPr>
          <w:rFonts w:ascii="宋体" w:hAnsi="宋体" w:cs="宋体"/>
        </w:rPr>
        <w:t>投标人应将由法定代表人（负责人）或授权代表签字并加盖公章的报价表正本一份（格式见本招标文件附件）。</w:t>
      </w:r>
    </w:p>
    <w:p>
      <w:pPr>
        <w:widowControl w:val="0"/>
        <w:numPr>
          <w:ilvl w:val="0"/>
          <w:numId w:val="19"/>
        </w:numPr>
        <w:adjustRightInd w:val="0"/>
        <w:spacing w:line="360" w:lineRule="auto"/>
        <w:jc w:val="both"/>
        <w:textAlignment w:val="baseline"/>
        <w:rPr>
          <w:rFonts w:ascii="宋体" w:hAnsi="宋体" w:cs="宋体"/>
        </w:rPr>
      </w:pPr>
      <w:r>
        <w:rPr>
          <w:rFonts w:hint="eastAsia" w:ascii="宋体" w:hAnsi="宋体" w:cs="宋体"/>
        </w:rPr>
        <w:t>招标人不接受任何选择报价，只允许有一个报价，同时不接受有条件的优惠报价。</w:t>
      </w:r>
    </w:p>
    <w:p>
      <w:pPr>
        <w:widowControl w:val="0"/>
        <w:numPr>
          <w:ilvl w:val="0"/>
          <w:numId w:val="19"/>
        </w:numPr>
        <w:adjustRightInd w:val="0"/>
        <w:spacing w:line="360" w:lineRule="auto"/>
        <w:jc w:val="both"/>
        <w:textAlignment w:val="baseline"/>
        <w:rPr>
          <w:rFonts w:ascii="宋体" w:hAnsi="宋体" w:cs="宋体"/>
        </w:rPr>
      </w:pPr>
      <w:r>
        <w:rPr>
          <w:rFonts w:hint="eastAsia" w:ascii="宋体" w:hAnsi="宋体" w:cs="宋体"/>
        </w:rPr>
        <w:t>最低报价不能作为中标的保证。</w:t>
      </w:r>
    </w:p>
    <w:p>
      <w:pPr>
        <w:widowControl w:val="0"/>
        <w:numPr>
          <w:ilvl w:val="0"/>
          <w:numId w:val="19"/>
        </w:numPr>
        <w:adjustRightInd w:val="0"/>
        <w:spacing w:line="360" w:lineRule="auto"/>
        <w:jc w:val="both"/>
        <w:textAlignment w:val="baseline"/>
        <w:rPr>
          <w:rFonts w:ascii="宋体" w:hAnsi="宋体" w:cs="宋体"/>
        </w:rPr>
      </w:pPr>
      <w:r>
        <w:rPr>
          <w:rFonts w:ascii="宋体" w:hAnsi="宋体" w:cs="宋体"/>
        </w:rPr>
        <w:t>评标委员会认为投标人的报价明显低于其他通过符合性审查投标人的报价，有可能影响产品质量或者不能诚信履约的，有权要求该投标人在评标现场合理的时间内提供书面说明，必要时提交相关证明材料；投标人不能证明其报价合理性的，评标委员会有权将其作为无效投标处理。</w:t>
      </w:r>
    </w:p>
    <w:p>
      <w:pPr>
        <w:pStyle w:val="2"/>
      </w:pPr>
    </w:p>
    <w:p>
      <w:pPr>
        <w:numPr>
          <w:ilvl w:val="0"/>
          <w:numId w:val="14"/>
          <w:ins w:id="7" w:author="liyaqin" w:date="2021-03-16T11:24:14Z"/>
        </w:numPr>
        <w:ind w:firstLine="400" w:firstLineChars="200"/>
        <w:rPr>
          <w:rFonts w:hint="eastAsia" w:ascii="宋体" w:hAnsi="宋体" w:cs="宋体"/>
          <w:sz w:val="20"/>
        </w:rPr>
      </w:pPr>
      <w:r>
        <w:rPr>
          <w:rFonts w:hint="eastAsia" w:ascii="宋体" w:hAnsi="宋体" w:cs="宋体"/>
          <w:sz w:val="20"/>
        </w:rPr>
        <w:t>投标文件式样和签署</w:t>
      </w:r>
    </w:p>
    <w:p>
      <w:pPr>
        <w:widowControl w:val="0"/>
        <w:numPr>
          <w:ilvl w:val="0"/>
          <w:numId w:val="20"/>
        </w:numPr>
        <w:adjustRightInd w:val="0"/>
        <w:spacing w:line="360" w:lineRule="auto"/>
        <w:jc w:val="both"/>
        <w:textAlignment w:val="baseline"/>
        <w:rPr>
          <w:rFonts w:ascii="宋体" w:hAnsi="宋体" w:cs="宋体"/>
        </w:rPr>
      </w:pPr>
      <w:r>
        <w:rPr>
          <w:rFonts w:ascii="宋体" w:hAnsi="宋体" w:cs="宋体"/>
        </w:rPr>
        <w:t>投标人应准备投标文件正本及电子文档。若正本与电子文档不符，以正本纸质文件为准。</w:t>
      </w:r>
    </w:p>
    <w:p>
      <w:pPr>
        <w:widowControl w:val="0"/>
        <w:numPr>
          <w:ilvl w:val="0"/>
          <w:numId w:val="20"/>
        </w:numPr>
        <w:adjustRightInd w:val="0"/>
        <w:spacing w:line="360" w:lineRule="auto"/>
        <w:jc w:val="both"/>
        <w:textAlignment w:val="baseline"/>
        <w:rPr>
          <w:rFonts w:ascii="宋体" w:hAnsi="宋体" w:cs="宋体"/>
        </w:rPr>
      </w:pPr>
      <w:r>
        <w:rPr>
          <w:rFonts w:ascii="宋体" w:hAnsi="宋体" w:cs="宋体"/>
        </w:rPr>
        <w:t>投标文件的正本需打印或用不退色墨水书写，电子文档应为正本的扫描件。正本须由投标人法定代表人或经正式授权并对投标人有约束力的代表签字（若拟使用签字章，需同时提交备案说明）。授权代表须将以书面形式出具的“授权证书”附在投标文件中。投标文件规定盖章的地方，应盖单位/公司公章（文件中的单位盖章、印章、公章等处均仅指与投标人名称全称相一致的标准公章。如投标过程中投标人使用其他形式（如带有“专用章”等字样）的印章，须提供特别说明函，明确“针对本次项目，该投标人专用章作为直接参与投标时相关文件的签章，其效力等同于公章”，特别说明函须同时加盖投标人公章及专用章。）。</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四、投标文件的递交</w:t>
      </w:r>
    </w:p>
    <w:p>
      <w:pPr>
        <w:numPr>
          <w:ilvl w:val="0"/>
          <w:numId w:val="21"/>
          <w:ins w:id="8" w:author="liyaqin" w:date="2021-03-16T11:24:26Z"/>
        </w:numPr>
        <w:ind w:left="0" w:firstLine="420" w:firstLineChars="200"/>
        <w:rPr>
          <w:rFonts w:ascii="宋体" w:hAnsi="宋体" w:cs="宋体"/>
          <w:sz w:val="21"/>
        </w:rPr>
      </w:pPr>
      <w:r>
        <w:rPr>
          <w:rFonts w:ascii="宋体" w:hAnsi="宋体" w:cs="宋体"/>
          <w:sz w:val="21"/>
        </w:rPr>
        <w:t>电子版发送至招标人指定邮箱，纸质版于投标日密封交至投标地点。</w:t>
      </w:r>
    </w:p>
    <w:p>
      <w:pPr>
        <w:widowControl w:val="0"/>
        <w:numPr>
          <w:ilvl w:val="0"/>
          <w:numId w:val="22"/>
        </w:numPr>
        <w:adjustRightInd w:val="0"/>
        <w:spacing w:line="360" w:lineRule="auto"/>
        <w:jc w:val="both"/>
        <w:textAlignment w:val="baseline"/>
        <w:rPr>
          <w:rFonts w:ascii="宋体" w:hAnsi="宋体" w:cs="宋体"/>
        </w:rPr>
      </w:pPr>
      <w:r>
        <w:rPr>
          <w:rFonts w:ascii="宋体" w:hAnsi="宋体" w:cs="宋体"/>
        </w:rPr>
        <w:t>投标人应将投标文件正本密封装在包装中，且在投标文件上标明 “正本” 字样。</w:t>
      </w:r>
    </w:p>
    <w:p>
      <w:pPr>
        <w:rPr>
          <w:rFonts w:ascii="Songti SC" w:hAnsi="Songti SC" w:eastAsia="Songti SC" w:cs="宋体"/>
          <w:color w:val="000000"/>
          <w:sz w:val="21"/>
        </w:rPr>
      </w:pPr>
    </w:p>
    <w:p>
      <w:pPr>
        <w:numPr>
          <w:ilvl w:val="0"/>
          <w:numId w:val="21"/>
          <w:ins w:id="9" w:author="liyaqin" w:date="2021-03-16T11:24:30Z"/>
        </w:numPr>
        <w:ind w:firstLine="420" w:firstLineChars="200"/>
        <w:rPr>
          <w:rFonts w:ascii="宋体" w:hAnsi="宋体" w:cs="宋体"/>
          <w:sz w:val="21"/>
        </w:rPr>
      </w:pPr>
      <w:r>
        <w:rPr>
          <w:rFonts w:ascii="宋体" w:hAnsi="宋体" w:cs="宋体"/>
          <w:sz w:val="21"/>
        </w:rPr>
        <w:t>投标文件的修改与撤回</w:t>
      </w:r>
    </w:p>
    <w:p>
      <w:pPr>
        <w:widowControl w:val="0"/>
        <w:numPr>
          <w:ilvl w:val="0"/>
          <w:numId w:val="23"/>
        </w:numPr>
        <w:adjustRightInd w:val="0"/>
        <w:spacing w:line="360" w:lineRule="auto"/>
        <w:jc w:val="both"/>
        <w:textAlignment w:val="baseline"/>
        <w:rPr>
          <w:rFonts w:ascii="宋体" w:hAnsi="宋体" w:cs="宋体"/>
        </w:rPr>
      </w:pPr>
      <w:r>
        <w:rPr>
          <w:rFonts w:ascii="宋体" w:hAnsi="宋体" w:cs="宋体"/>
        </w:rPr>
        <w:t>投标人在递交投标文件后，可以修改或撤回其投标，但招标人必须在规定的投标截止期之前，收到修改或撤回的书面通知。</w:t>
      </w:r>
    </w:p>
    <w:p>
      <w:pPr>
        <w:widowControl w:val="0"/>
        <w:numPr>
          <w:ilvl w:val="0"/>
          <w:numId w:val="23"/>
        </w:numPr>
        <w:adjustRightInd w:val="0"/>
        <w:spacing w:line="360" w:lineRule="auto"/>
        <w:jc w:val="both"/>
        <w:textAlignment w:val="baseline"/>
        <w:rPr>
          <w:rFonts w:ascii="宋体" w:hAnsi="宋体" w:cs="宋体"/>
        </w:rPr>
      </w:pPr>
      <w:r>
        <w:rPr>
          <w:rFonts w:ascii="宋体" w:hAnsi="宋体" w:cs="宋体"/>
        </w:rPr>
        <w:t>投标人的修改或撤回通知应按招标文件相关规定编制、密封、标记和发送。</w:t>
      </w:r>
    </w:p>
    <w:p>
      <w:pPr>
        <w:widowControl w:val="0"/>
        <w:numPr>
          <w:ilvl w:val="0"/>
          <w:numId w:val="23"/>
        </w:numPr>
        <w:adjustRightInd w:val="0"/>
        <w:spacing w:line="360" w:lineRule="auto"/>
        <w:jc w:val="both"/>
        <w:textAlignment w:val="baseline"/>
        <w:rPr>
          <w:rFonts w:ascii="宋体" w:hAnsi="宋体" w:cs="宋体"/>
        </w:rPr>
      </w:pPr>
      <w:r>
        <w:rPr>
          <w:rFonts w:ascii="宋体" w:hAnsi="宋体" w:cs="宋体"/>
        </w:rPr>
        <w:t>在投标截止期之后，投标人不得对其投标做任何修改。</w:t>
      </w:r>
    </w:p>
    <w:p>
      <w:pPr>
        <w:widowControl w:val="0"/>
        <w:numPr>
          <w:ilvl w:val="0"/>
          <w:numId w:val="23"/>
        </w:numPr>
        <w:adjustRightInd w:val="0"/>
        <w:spacing w:line="360" w:lineRule="auto"/>
        <w:jc w:val="both"/>
        <w:textAlignment w:val="baseline"/>
        <w:rPr>
          <w:rFonts w:ascii="宋体" w:hAnsi="宋体" w:cs="宋体"/>
        </w:rPr>
      </w:pPr>
      <w:r>
        <w:rPr>
          <w:rFonts w:ascii="宋体" w:hAnsi="宋体" w:cs="宋体"/>
        </w:rPr>
        <w:t>从投标截止期至投标人在投标函格式中确定的投标有效期之间的这段时间内，投标人不得撤回其投标。</w:t>
      </w:r>
    </w:p>
    <w:p>
      <w:pPr>
        <w:rPr>
          <w:rFonts w:ascii="Songti SC" w:hAnsi="Songti SC" w:eastAsia="Songti SC" w:cs="宋体"/>
          <w:color w:val="000000"/>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五、开标与评标</w:t>
      </w:r>
    </w:p>
    <w:p>
      <w:pPr>
        <w:numPr>
          <w:ilvl w:val="0"/>
          <w:numId w:val="24"/>
          <w:ins w:id="10" w:author="liyaqin" w:date="2021-03-16T11:24:35Z"/>
        </w:numPr>
        <w:ind w:firstLine="420" w:firstLineChars="200"/>
        <w:rPr>
          <w:rFonts w:ascii="宋体" w:hAnsi="宋体" w:cs="宋体"/>
          <w:sz w:val="21"/>
        </w:rPr>
      </w:pPr>
      <w:r>
        <w:rPr>
          <w:rFonts w:ascii="宋体" w:hAnsi="宋体" w:cs="宋体"/>
          <w:sz w:val="21"/>
        </w:rPr>
        <w:t>开标</w:t>
      </w:r>
    </w:p>
    <w:p>
      <w:pPr>
        <w:widowControl w:val="0"/>
        <w:numPr>
          <w:ilvl w:val="0"/>
          <w:numId w:val="25"/>
        </w:numPr>
        <w:adjustRightInd w:val="0"/>
        <w:spacing w:line="360" w:lineRule="auto"/>
        <w:jc w:val="both"/>
        <w:textAlignment w:val="baseline"/>
        <w:rPr>
          <w:rFonts w:ascii="宋体" w:hAnsi="宋体" w:cs="宋体"/>
        </w:rPr>
      </w:pPr>
      <w:r>
        <w:rPr>
          <w:rFonts w:ascii="宋体" w:hAnsi="宋体" w:cs="宋体"/>
        </w:rPr>
        <w:t>招标人在投标人规定的日期、时间和地点组织开标，投标人法定代表人根据通知携带法定代表人证件及证明本人身份的证件出席；法定代表人不能出席的，可委派代表参加开标，受委托代表应出示授权书及本人身份证明。参加开标的代表应签名报到以证明其出席。</w:t>
      </w:r>
    </w:p>
    <w:p>
      <w:pPr>
        <w:widowControl w:val="0"/>
        <w:numPr>
          <w:ilvl w:val="0"/>
          <w:numId w:val="25"/>
        </w:numPr>
        <w:adjustRightInd w:val="0"/>
        <w:spacing w:line="360" w:lineRule="auto"/>
        <w:jc w:val="both"/>
        <w:textAlignment w:val="baseline"/>
        <w:rPr>
          <w:rFonts w:ascii="宋体" w:hAnsi="宋体" w:cs="宋体"/>
        </w:rPr>
      </w:pPr>
      <w:r>
        <w:rPr>
          <w:rFonts w:ascii="宋体" w:hAnsi="宋体" w:cs="宋体"/>
        </w:rPr>
        <w:t>开标时，招标人拆封文件，投标人按抽签顺序演讲PPT方案。</w:t>
      </w:r>
    </w:p>
    <w:p>
      <w:pPr>
        <w:pStyle w:val="2"/>
      </w:pPr>
    </w:p>
    <w:p>
      <w:pPr>
        <w:numPr>
          <w:ilvl w:val="0"/>
          <w:numId w:val="24"/>
          <w:ins w:id="11" w:author="liyaqin" w:date="2021-03-16T11:24:38Z"/>
        </w:numPr>
        <w:ind w:firstLine="420" w:firstLineChars="200"/>
        <w:rPr>
          <w:rFonts w:ascii="宋体" w:hAnsi="宋体" w:cs="宋体"/>
          <w:sz w:val="21"/>
        </w:rPr>
      </w:pPr>
      <w:r>
        <w:rPr>
          <w:rFonts w:ascii="宋体" w:hAnsi="宋体" w:cs="宋体"/>
          <w:sz w:val="21"/>
        </w:rPr>
        <w:t>评标委员会</w:t>
      </w:r>
    </w:p>
    <w:p>
      <w:pPr>
        <w:widowControl w:val="0"/>
        <w:numPr>
          <w:ilvl w:val="0"/>
          <w:numId w:val="26"/>
        </w:numPr>
        <w:adjustRightInd w:val="0"/>
        <w:spacing w:line="360" w:lineRule="auto"/>
        <w:jc w:val="both"/>
        <w:textAlignment w:val="baseline"/>
        <w:rPr>
          <w:rFonts w:ascii="宋体" w:hAnsi="宋体" w:cs="宋体"/>
        </w:rPr>
      </w:pPr>
      <w:r>
        <w:rPr>
          <w:rFonts w:ascii="宋体" w:hAnsi="宋体" w:cs="宋体"/>
        </w:rPr>
        <w:t>评标委员会由招标人负责依法组建。评标委员会负责评标活动，向招标人推荐中标候选人。</w:t>
      </w:r>
    </w:p>
    <w:p>
      <w:pPr>
        <w:pStyle w:val="2"/>
      </w:pPr>
    </w:p>
    <w:p>
      <w:pPr>
        <w:numPr>
          <w:ilvl w:val="0"/>
          <w:numId w:val="24"/>
          <w:ins w:id="12" w:author="liyaqin" w:date="2021-03-16T11:24:41Z"/>
        </w:numPr>
        <w:ind w:firstLine="420" w:firstLineChars="200"/>
        <w:rPr>
          <w:rFonts w:ascii="宋体" w:hAnsi="宋体" w:cs="宋体"/>
          <w:sz w:val="21"/>
        </w:rPr>
      </w:pPr>
      <w:r>
        <w:rPr>
          <w:rFonts w:ascii="宋体" w:hAnsi="宋体" w:cs="宋体"/>
          <w:sz w:val="21"/>
        </w:rPr>
        <w:t>投标文件的澄清</w:t>
      </w:r>
    </w:p>
    <w:p>
      <w:pPr>
        <w:widowControl w:val="0"/>
        <w:numPr>
          <w:ilvl w:val="0"/>
          <w:numId w:val="27"/>
        </w:numPr>
        <w:adjustRightInd w:val="0"/>
        <w:spacing w:line="360" w:lineRule="auto"/>
        <w:jc w:val="both"/>
        <w:textAlignment w:val="baseline"/>
        <w:rPr>
          <w:rFonts w:ascii="宋体" w:hAnsi="宋体" w:cs="宋体"/>
        </w:rPr>
      </w:pPr>
      <w:r>
        <w:rPr>
          <w:rFonts w:ascii="宋体" w:hAnsi="宋体" w:cs="宋体"/>
        </w:rPr>
        <w:t>投标人演讲PPT后，评标委员会将进行现场答疑，招标人需按实际情况回答。</w:t>
      </w:r>
    </w:p>
    <w:p>
      <w:pPr>
        <w:widowControl w:val="0"/>
        <w:numPr>
          <w:ilvl w:val="0"/>
          <w:numId w:val="27"/>
        </w:numPr>
        <w:adjustRightInd w:val="0"/>
        <w:spacing w:line="360" w:lineRule="auto"/>
        <w:jc w:val="both"/>
        <w:textAlignment w:val="baseline"/>
        <w:rPr>
          <w:rFonts w:ascii="宋体" w:hAnsi="宋体" w:cs="宋体"/>
        </w:rPr>
      </w:pPr>
      <w:r>
        <w:rPr>
          <w:rFonts w:ascii="宋体" w:hAnsi="宋体" w:cs="宋体"/>
        </w:rPr>
        <w:t>招标人有权就投标文件中含混之处向投标人提出询问或澄清要求。投标人必须按照评标委员会和/或招标人就澄清的问题作答复。</w:t>
      </w:r>
    </w:p>
    <w:p>
      <w:pPr>
        <w:pStyle w:val="2"/>
      </w:pPr>
    </w:p>
    <w:p>
      <w:pPr>
        <w:numPr>
          <w:ilvl w:val="0"/>
          <w:numId w:val="24"/>
          <w:ins w:id="13" w:author="liyaqin" w:date="2021-03-16T11:24:44Z"/>
        </w:numPr>
        <w:ind w:firstLine="420" w:firstLineChars="200"/>
        <w:rPr>
          <w:rFonts w:ascii="宋体" w:hAnsi="宋体" w:cs="宋体"/>
          <w:sz w:val="21"/>
        </w:rPr>
      </w:pPr>
      <w:r>
        <w:rPr>
          <w:rFonts w:ascii="宋体" w:hAnsi="宋体" w:cs="宋体"/>
          <w:sz w:val="21"/>
        </w:rPr>
        <w:t>评标原则及主要方法</w:t>
      </w:r>
    </w:p>
    <w:p>
      <w:pPr>
        <w:widowControl w:val="0"/>
        <w:numPr>
          <w:ilvl w:val="0"/>
          <w:numId w:val="28"/>
        </w:numPr>
        <w:adjustRightInd w:val="0"/>
        <w:spacing w:line="360" w:lineRule="auto"/>
        <w:jc w:val="both"/>
        <w:textAlignment w:val="baseline"/>
        <w:rPr>
          <w:rFonts w:ascii="宋体" w:hAnsi="宋体" w:cs="宋体"/>
        </w:rPr>
      </w:pPr>
      <w:r>
        <w:rPr>
          <w:rFonts w:ascii="宋体" w:hAnsi="宋体" w:cs="宋体"/>
        </w:rPr>
        <w:t>评标委员会将按照招标文件的有关规定和有关法律法规的规定，本着公平、公正、科学、择优的原则，对初步审查合格的投标进行评议。进行评分的，评标最终得分保留2位小数。</w:t>
      </w:r>
    </w:p>
    <w:p>
      <w:pPr>
        <w:widowControl w:val="0"/>
        <w:numPr>
          <w:ilvl w:val="0"/>
          <w:numId w:val="28"/>
        </w:numPr>
        <w:adjustRightInd w:val="0"/>
        <w:spacing w:line="360" w:lineRule="auto"/>
        <w:jc w:val="both"/>
        <w:textAlignment w:val="baseline"/>
        <w:rPr>
          <w:rFonts w:ascii="宋体" w:hAnsi="宋体" w:cs="宋体"/>
        </w:rPr>
      </w:pPr>
      <w:r>
        <w:rPr>
          <w:rFonts w:ascii="宋体" w:hAnsi="宋体" w:cs="宋体"/>
        </w:rPr>
        <w:t>采用综合评分法的，投标人综合得分由高到低排序，排名前3名的投标人被推荐为中标候选人。如投标人综合得分相等则折扣得分高者排名高于价格得分低者；如综合得分、折扣得分均相等，则按评标办法的第一项开始比较，得分高者排名高于得分低者，以此类推直至区分投标人排名。</w:t>
      </w:r>
    </w:p>
    <w:p>
      <w:pPr>
        <w:widowControl w:val="0"/>
        <w:numPr>
          <w:ilvl w:val="0"/>
          <w:numId w:val="28"/>
        </w:numPr>
        <w:adjustRightInd w:val="0"/>
        <w:spacing w:line="360" w:lineRule="auto"/>
        <w:jc w:val="both"/>
        <w:textAlignment w:val="baseline"/>
        <w:rPr>
          <w:rFonts w:ascii="宋体" w:hAnsi="宋体" w:cs="宋体"/>
        </w:rPr>
      </w:pPr>
      <w:r>
        <w:rPr>
          <w:rFonts w:ascii="宋体" w:hAnsi="宋体" w:cs="宋体"/>
        </w:rPr>
        <w:t>评标方法详见本招标文件第三章“评标办法”。</w:t>
      </w:r>
    </w:p>
    <w:p>
      <w:pPr>
        <w:pStyle w:val="2"/>
      </w:pPr>
    </w:p>
    <w:p>
      <w:pPr>
        <w:numPr>
          <w:ilvl w:val="0"/>
          <w:numId w:val="24"/>
          <w:ins w:id="14" w:author="liyaqin" w:date="2021-03-16T11:24:47Z"/>
        </w:numPr>
        <w:ind w:firstLine="420" w:firstLineChars="200"/>
        <w:rPr>
          <w:rFonts w:ascii="宋体" w:hAnsi="宋体" w:cs="宋体"/>
          <w:sz w:val="21"/>
        </w:rPr>
      </w:pPr>
      <w:r>
        <w:rPr>
          <w:rFonts w:ascii="宋体" w:hAnsi="宋体" w:cs="宋体"/>
          <w:sz w:val="21"/>
        </w:rPr>
        <w:t>评标过程保密</w:t>
      </w:r>
    </w:p>
    <w:p>
      <w:pPr>
        <w:widowControl w:val="0"/>
        <w:numPr>
          <w:ilvl w:val="0"/>
          <w:numId w:val="29"/>
        </w:numPr>
        <w:adjustRightInd w:val="0"/>
        <w:spacing w:line="360" w:lineRule="auto"/>
        <w:jc w:val="both"/>
        <w:textAlignment w:val="baseline"/>
        <w:rPr>
          <w:rFonts w:ascii="宋体" w:hAnsi="宋体" w:cs="宋体"/>
        </w:rPr>
      </w:pPr>
      <w:r>
        <w:rPr>
          <w:rFonts w:ascii="宋体" w:hAnsi="宋体" w:cs="宋体"/>
        </w:rPr>
        <w:t>开标之后，直到授予投标人合同止，凡是属于审查、澄清、评价和比较投标的有关资料以及授标意向等，均不得向投标人或其他无关的人员透露。</w:t>
      </w:r>
    </w:p>
    <w:p>
      <w:pPr>
        <w:widowControl w:val="0"/>
        <w:numPr>
          <w:ilvl w:val="0"/>
          <w:numId w:val="29"/>
        </w:numPr>
        <w:adjustRightInd w:val="0"/>
        <w:spacing w:line="360" w:lineRule="auto"/>
        <w:jc w:val="both"/>
        <w:textAlignment w:val="baseline"/>
        <w:rPr>
          <w:rFonts w:ascii="宋体" w:hAnsi="宋体" w:cs="宋体"/>
        </w:rPr>
      </w:pPr>
      <w:r>
        <w:rPr>
          <w:rFonts w:ascii="宋体" w:hAnsi="宋体" w:cs="宋体"/>
        </w:rPr>
        <w:t>在评标期间，投标人企图影响招标人的任何活动，将导致投标被拒绝，并承担相应的法律责任。</w:t>
      </w:r>
    </w:p>
    <w:p>
      <w:pPr>
        <w:jc w:val="both"/>
        <w:rPr>
          <w:rFonts w:ascii="Songti SC" w:hAnsi="Songti SC" w:eastAsia="Songti SC" w:cs="宋体"/>
          <w:b/>
          <w:color w:val="000000"/>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六、授予合同</w:t>
      </w:r>
    </w:p>
    <w:p>
      <w:pPr>
        <w:numPr>
          <w:ilvl w:val="0"/>
          <w:numId w:val="30"/>
          <w:ins w:id="15" w:author="liyaqin" w:date="2021-03-16T11:24:54Z"/>
        </w:numPr>
        <w:ind w:firstLine="420" w:firstLineChars="200"/>
        <w:rPr>
          <w:rFonts w:ascii="宋体" w:hAnsi="宋体" w:cs="宋体"/>
          <w:sz w:val="21"/>
        </w:rPr>
      </w:pPr>
      <w:r>
        <w:rPr>
          <w:rFonts w:ascii="宋体" w:hAnsi="宋体" w:cs="宋体"/>
          <w:sz w:val="21"/>
        </w:rPr>
        <w:t>最终审查</w:t>
      </w:r>
    </w:p>
    <w:p>
      <w:pPr>
        <w:widowControl w:val="0"/>
        <w:numPr>
          <w:ilvl w:val="0"/>
          <w:numId w:val="31"/>
        </w:numPr>
        <w:adjustRightInd w:val="0"/>
        <w:spacing w:line="360" w:lineRule="auto"/>
        <w:jc w:val="both"/>
        <w:textAlignment w:val="baseline"/>
        <w:rPr>
          <w:rFonts w:ascii="宋体" w:hAnsi="宋体" w:cs="宋体"/>
        </w:rPr>
      </w:pPr>
      <w:r>
        <w:rPr>
          <w:rFonts w:ascii="宋体" w:hAnsi="宋体" w:cs="宋体"/>
        </w:rPr>
        <w:t>最终审查的内容是对投标人的财务、技术、服务能力、商业信誉及招标人认为有必要了解的其它问题作进一步的考察，确定其是否有能力履行合同。</w:t>
      </w:r>
    </w:p>
    <w:p>
      <w:pPr>
        <w:widowControl w:val="0"/>
        <w:numPr>
          <w:ilvl w:val="0"/>
          <w:numId w:val="31"/>
        </w:numPr>
        <w:adjustRightInd w:val="0"/>
        <w:spacing w:line="360" w:lineRule="auto"/>
        <w:jc w:val="both"/>
        <w:textAlignment w:val="baseline"/>
        <w:rPr>
          <w:rFonts w:ascii="宋体" w:hAnsi="宋体" w:cs="宋体"/>
        </w:rPr>
      </w:pPr>
      <w:r>
        <w:rPr>
          <w:rFonts w:ascii="宋体" w:hAnsi="宋体" w:cs="宋体"/>
        </w:rPr>
        <w:t>最终审查方式：</w:t>
      </w:r>
    </w:p>
    <w:p>
      <w:pPr>
        <w:rPr>
          <w:rFonts w:ascii="宋体" w:hAnsi="宋体" w:cs="宋体"/>
        </w:rPr>
      </w:pPr>
      <w:r>
        <w:rPr>
          <w:rFonts w:ascii="宋体" w:hAnsi="宋体" w:cs="宋体"/>
        </w:rPr>
        <w:t>（1）最终审查主要依据投标人按招标文件要求提交的有效资格证明文件。</w:t>
      </w:r>
    </w:p>
    <w:p>
      <w:pPr>
        <w:rPr>
          <w:rFonts w:ascii="宋体" w:hAnsi="宋体" w:cs="宋体"/>
          <w:color w:val="000000"/>
        </w:rPr>
      </w:pPr>
      <w:r>
        <w:rPr>
          <w:rFonts w:ascii="宋体" w:hAnsi="宋体" w:cs="宋体"/>
        </w:rPr>
        <w:t>（2）招标人如果认为必要，也可采取对投标人进行询问或实地考察方式。投标人必须如实回答和接受招标人的询问或考察，并提供所需的有关资料。 </w:t>
      </w:r>
    </w:p>
    <w:p>
      <w:pPr>
        <w:widowControl w:val="0"/>
        <w:numPr>
          <w:ilvl w:val="0"/>
          <w:numId w:val="31"/>
        </w:numPr>
        <w:adjustRightInd w:val="0"/>
        <w:spacing w:line="360" w:lineRule="auto"/>
        <w:jc w:val="both"/>
        <w:textAlignment w:val="baseline"/>
        <w:rPr>
          <w:rFonts w:ascii="宋体" w:hAnsi="宋体" w:cs="宋体"/>
        </w:rPr>
      </w:pPr>
      <w:r>
        <w:rPr>
          <w:rFonts w:ascii="宋体" w:hAnsi="宋体" w:cs="宋体"/>
        </w:rPr>
        <w:t>按照排名顺序，被推荐的中标候选人若通过审查，则将其确定为中标人；如果其不符合中标条件，没有通过审查，则顺序考察下一个作为中标候选人的排名者。</w:t>
      </w:r>
    </w:p>
    <w:p>
      <w:pPr>
        <w:pStyle w:val="2"/>
      </w:pPr>
    </w:p>
    <w:p>
      <w:pPr>
        <w:numPr>
          <w:ilvl w:val="0"/>
          <w:numId w:val="30"/>
          <w:ins w:id="16" w:author="liyaqin" w:date="2021-03-16T11:25:02Z"/>
        </w:numPr>
        <w:ind w:firstLine="420" w:firstLineChars="200"/>
        <w:rPr>
          <w:rFonts w:ascii="宋体" w:hAnsi="宋体" w:cs="宋体"/>
          <w:sz w:val="21"/>
        </w:rPr>
      </w:pPr>
      <w:r>
        <w:rPr>
          <w:rFonts w:ascii="宋体" w:hAnsi="宋体" w:cs="宋体"/>
          <w:sz w:val="21"/>
        </w:rPr>
        <w:t>招标人在授标时保留变更服务内容的权力</w:t>
      </w:r>
    </w:p>
    <w:p>
      <w:pPr>
        <w:widowControl w:val="0"/>
        <w:numPr>
          <w:ilvl w:val="0"/>
          <w:numId w:val="32"/>
        </w:numPr>
        <w:adjustRightInd w:val="0"/>
        <w:spacing w:line="360" w:lineRule="auto"/>
        <w:jc w:val="both"/>
        <w:textAlignment w:val="baseline"/>
        <w:rPr>
          <w:rFonts w:ascii="宋体" w:hAnsi="宋体" w:cs="宋体"/>
        </w:rPr>
      </w:pPr>
      <w:r>
        <w:rPr>
          <w:rFonts w:ascii="宋体" w:hAnsi="宋体" w:cs="宋体"/>
        </w:rPr>
        <w:t>招标人在授予合同前，有权确定采购的内容和数量以及服务的内容。</w:t>
      </w:r>
    </w:p>
    <w:p>
      <w:pPr>
        <w:pStyle w:val="2"/>
      </w:pPr>
    </w:p>
    <w:p>
      <w:pPr>
        <w:numPr>
          <w:ilvl w:val="0"/>
          <w:numId w:val="30"/>
          <w:ins w:id="17" w:author="liyaqin" w:date="2021-03-16T11:25:06Z"/>
        </w:numPr>
        <w:ind w:firstLine="420" w:firstLineChars="200"/>
        <w:rPr>
          <w:rFonts w:ascii="宋体" w:hAnsi="宋体" w:cs="宋体"/>
          <w:sz w:val="21"/>
        </w:rPr>
      </w:pPr>
      <w:ins w:id="18" w:author="liyaqin" w:date="2021-03-16T11:26:00Z">
        <w:r>
          <w:rPr>
            <w:rFonts w:hint="eastAsia" w:ascii="宋体" w:hAnsi="宋体" w:cs="宋体"/>
            <w:sz w:val="21"/>
            <w:lang w:val="en-US" w:eastAsia="zh-Hans"/>
          </w:rPr>
          <w:t>招标人</w:t>
        </w:r>
      </w:ins>
      <w:r>
        <w:rPr>
          <w:rFonts w:ascii="宋体" w:hAnsi="宋体" w:cs="宋体"/>
          <w:sz w:val="21"/>
        </w:rPr>
        <w:t>接受和拒绝任何或所有投标的权力</w:t>
      </w:r>
    </w:p>
    <w:p>
      <w:pPr>
        <w:widowControl w:val="0"/>
        <w:numPr>
          <w:ilvl w:val="0"/>
          <w:numId w:val="33"/>
        </w:numPr>
        <w:adjustRightInd w:val="0"/>
        <w:spacing w:line="360" w:lineRule="auto"/>
        <w:jc w:val="both"/>
        <w:textAlignment w:val="baseline"/>
        <w:rPr>
          <w:rFonts w:ascii="宋体" w:hAnsi="宋体" w:cs="宋体"/>
        </w:rPr>
      </w:pPr>
      <w:r>
        <w:rPr>
          <w:rFonts w:ascii="宋体" w:hAnsi="宋体" w:cs="宋体"/>
        </w:rPr>
        <w:t>招标人在授予合同之前，仍有拒绝任何投标人成交的权力，并对所采取的行为不说明原因。</w:t>
      </w:r>
    </w:p>
    <w:p>
      <w:pPr>
        <w:pStyle w:val="2"/>
      </w:pPr>
    </w:p>
    <w:p>
      <w:pPr>
        <w:numPr>
          <w:ilvl w:val="0"/>
          <w:numId w:val="30"/>
          <w:ins w:id="19" w:author="liyaqin" w:date="2021-03-16T11:25:08Z"/>
        </w:numPr>
        <w:ind w:firstLine="420" w:firstLineChars="200"/>
        <w:rPr>
          <w:rFonts w:ascii="宋体" w:hAnsi="宋体" w:cs="宋体"/>
          <w:sz w:val="21"/>
        </w:rPr>
      </w:pPr>
      <w:r>
        <w:rPr>
          <w:rFonts w:ascii="宋体" w:hAnsi="宋体" w:cs="宋体"/>
          <w:sz w:val="21"/>
        </w:rPr>
        <w:t>中标通知书</w:t>
      </w:r>
    </w:p>
    <w:p>
      <w:pPr>
        <w:widowControl w:val="0"/>
        <w:numPr>
          <w:ilvl w:val="0"/>
          <w:numId w:val="34"/>
        </w:numPr>
        <w:adjustRightInd w:val="0"/>
        <w:spacing w:line="360" w:lineRule="auto"/>
        <w:jc w:val="both"/>
        <w:textAlignment w:val="baseline"/>
        <w:rPr>
          <w:rFonts w:ascii="宋体" w:hAnsi="宋体" w:cs="宋体"/>
        </w:rPr>
      </w:pPr>
      <w:r>
        <w:rPr>
          <w:rFonts w:ascii="宋体" w:hAnsi="宋体" w:cs="宋体"/>
        </w:rPr>
        <w:t>中标人确定后，招标人将向其发出中标通知书。</w:t>
      </w:r>
    </w:p>
    <w:p>
      <w:pPr>
        <w:widowControl w:val="0"/>
        <w:numPr>
          <w:ilvl w:val="0"/>
          <w:numId w:val="34"/>
        </w:numPr>
        <w:adjustRightInd w:val="0"/>
        <w:spacing w:line="360" w:lineRule="auto"/>
        <w:jc w:val="both"/>
        <w:textAlignment w:val="baseline"/>
        <w:rPr>
          <w:rFonts w:ascii="宋体" w:hAnsi="宋体" w:cs="宋体"/>
        </w:rPr>
      </w:pPr>
      <w:r>
        <w:rPr>
          <w:rFonts w:ascii="宋体" w:hAnsi="宋体" w:cs="宋体"/>
        </w:rPr>
        <w:t>中标通知书是合同的一个组成部分。</w:t>
      </w:r>
    </w:p>
    <w:p>
      <w:pPr>
        <w:widowControl w:val="0"/>
        <w:numPr>
          <w:ilvl w:val="0"/>
          <w:numId w:val="34"/>
        </w:numPr>
        <w:adjustRightInd w:val="0"/>
        <w:spacing w:line="360" w:lineRule="auto"/>
        <w:jc w:val="both"/>
        <w:textAlignment w:val="baseline"/>
        <w:rPr>
          <w:rFonts w:ascii="宋体" w:hAnsi="宋体" w:cs="宋体"/>
        </w:rPr>
      </w:pPr>
      <w:r>
        <w:rPr>
          <w:rFonts w:ascii="宋体" w:hAnsi="宋体" w:cs="宋体"/>
        </w:rPr>
        <w:t>招标人发出中标通知书的同时，将评标结果通知其他投标人。招标人对未中标的投标人不作未中标原因的解释。</w:t>
      </w:r>
    </w:p>
    <w:p>
      <w:pPr>
        <w:pStyle w:val="2"/>
      </w:pPr>
    </w:p>
    <w:p>
      <w:pPr>
        <w:numPr>
          <w:ilvl w:val="0"/>
          <w:numId w:val="30"/>
          <w:ins w:id="20" w:author="liyaqin" w:date="2021-03-16T11:25:11Z"/>
        </w:numPr>
        <w:ind w:firstLine="420" w:firstLineChars="200"/>
        <w:rPr>
          <w:rFonts w:ascii="宋体" w:hAnsi="宋体" w:cs="宋体"/>
          <w:sz w:val="21"/>
        </w:rPr>
      </w:pPr>
      <w:r>
        <w:rPr>
          <w:rFonts w:ascii="宋体" w:hAnsi="宋体" w:cs="宋体"/>
          <w:sz w:val="21"/>
        </w:rPr>
        <w:t>签订合同</w:t>
      </w:r>
    </w:p>
    <w:p>
      <w:pPr>
        <w:widowControl w:val="0"/>
        <w:numPr>
          <w:ilvl w:val="0"/>
          <w:numId w:val="35"/>
        </w:numPr>
        <w:adjustRightInd w:val="0"/>
        <w:spacing w:line="360" w:lineRule="auto"/>
        <w:jc w:val="both"/>
        <w:textAlignment w:val="baseline"/>
        <w:rPr>
          <w:rFonts w:ascii="宋体" w:hAnsi="宋体" w:cs="宋体"/>
        </w:rPr>
      </w:pPr>
      <w:r>
        <w:rPr>
          <w:rFonts w:ascii="宋体" w:hAnsi="宋体" w:cs="宋体"/>
        </w:rPr>
        <w:t>根据招标人需要，招标人与中标人签订合同。</w:t>
      </w:r>
    </w:p>
    <w:p>
      <w:pPr>
        <w:widowControl w:val="0"/>
        <w:numPr>
          <w:ilvl w:val="0"/>
          <w:numId w:val="35"/>
        </w:numPr>
        <w:adjustRightInd w:val="0"/>
        <w:spacing w:line="360" w:lineRule="auto"/>
        <w:jc w:val="both"/>
        <w:textAlignment w:val="baseline"/>
        <w:rPr>
          <w:rFonts w:ascii="宋体" w:hAnsi="宋体" w:cs="宋体"/>
        </w:rPr>
      </w:pPr>
      <w:r>
        <w:rPr>
          <w:rFonts w:ascii="宋体" w:hAnsi="宋体" w:cs="宋体"/>
        </w:rPr>
        <w:t>招标文件、中标人的投标文件及评标过程中有关澄清文件均应作为合同组成部分。</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七、保密与披露</w:t>
      </w:r>
    </w:p>
    <w:p>
      <w:pPr>
        <w:numPr>
          <w:ilvl w:val="0"/>
          <w:numId w:val="36"/>
          <w:ins w:id="21" w:author="liyaqin" w:date="2021-03-16T11:25:18Z"/>
        </w:numPr>
        <w:ind w:firstLine="420" w:firstLineChars="200"/>
        <w:rPr>
          <w:rFonts w:ascii="宋体" w:hAnsi="宋体" w:cs="宋体"/>
          <w:sz w:val="21"/>
        </w:rPr>
      </w:pPr>
      <w:r>
        <w:rPr>
          <w:rFonts w:ascii="宋体" w:hAnsi="宋体" w:cs="宋体"/>
          <w:sz w:val="21"/>
        </w:rPr>
        <w:t>保密与披露</w:t>
      </w:r>
    </w:p>
    <w:p>
      <w:pPr>
        <w:widowControl w:val="0"/>
        <w:numPr>
          <w:ilvl w:val="0"/>
          <w:numId w:val="37"/>
        </w:numPr>
        <w:adjustRightInd w:val="0"/>
        <w:spacing w:line="360" w:lineRule="auto"/>
        <w:jc w:val="both"/>
        <w:textAlignment w:val="baseline"/>
        <w:rPr>
          <w:rFonts w:ascii="宋体" w:hAnsi="宋体" w:cs="宋体"/>
        </w:rPr>
      </w:pPr>
      <w:r>
        <w:rPr>
          <w:rFonts w:ascii="宋体" w:hAnsi="宋体" w:cs="宋体"/>
        </w:rPr>
        <w:t>投标人自领取招标文件之日起，须承诺承担本次招标项目的保密义务，不得将因参加本次招标获得的信息向第三方外传。</w:t>
      </w:r>
    </w:p>
    <w:p>
      <w:pPr>
        <w:widowControl w:val="0"/>
        <w:numPr>
          <w:ilvl w:val="0"/>
          <w:numId w:val="37"/>
        </w:numPr>
        <w:adjustRightInd w:val="0"/>
        <w:spacing w:line="360" w:lineRule="auto"/>
        <w:jc w:val="both"/>
        <w:textAlignment w:val="baseline"/>
        <w:rPr>
          <w:rFonts w:ascii="宋体" w:hAnsi="宋体" w:cs="宋体"/>
        </w:rPr>
      </w:pPr>
      <w:r>
        <w:rPr>
          <w:rFonts w:ascii="宋体" w:hAnsi="宋体" w:cs="宋体"/>
        </w:rPr>
        <w:t>招标人有权将投标人提供的所有资料向负责评标的人员或与评标有关的人员披露。</w:t>
      </w:r>
    </w:p>
    <w:p>
      <w:pPr>
        <w:widowControl w:val="0"/>
        <w:numPr>
          <w:ilvl w:val="0"/>
          <w:numId w:val="37"/>
        </w:numPr>
        <w:adjustRightInd w:val="0"/>
        <w:spacing w:line="360" w:lineRule="auto"/>
        <w:jc w:val="both"/>
        <w:textAlignment w:val="baseline"/>
        <w:rPr>
          <w:rFonts w:ascii="宋体" w:hAnsi="宋体" w:cs="宋体"/>
        </w:rPr>
      </w:pPr>
      <w:r>
        <w:rPr>
          <w:rFonts w:ascii="宋体" w:hAnsi="宋体" w:cs="宋体"/>
        </w:rPr>
        <w:t>招标人有权在认为适当或任何第三者提出要求（书面或其它方式）时，无须事先征求中标人同意而披露关于已订立合同的资料、中标人的名称及地址、中标价格和合同条款等有关信息。</w:t>
      </w:r>
    </w:p>
    <w:p>
      <w:pPr>
        <w:autoSpaceDE w:val="0"/>
        <w:spacing w:line="360" w:lineRule="auto"/>
        <w:rPr>
          <w:rFonts w:ascii="Songti SC" w:hAnsi="Songti SC" w:eastAsia="Songti SC"/>
          <w:color w:val="000000"/>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八、其他</w:t>
      </w:r>
    </w:p>
    <w:p>
      <w:pPr>
        <w:numPr>
          <w:ilvl w:val="0"/>
          <w:numId w:val="38"/>
          <w:ins w:id="22" w:author="liyaqin" w:date="2021-03-16T11:25:28Z"/>
        </w:numPr>
        <w:ind w:firstLine="420" w:firstLineChars="200"/>
        <w:rPr>
          <w:rFonts w:ascii="宋体" w:hAnsi="宋体" w:cs="宋体"/>
          <w:sz w:val="21"/>
        </w:rPr>
      </w:pPr>
      <w:r>
        <w:rPr>
          <w:rFonts w:ascii="宋体" w:hAnsi="宋体" w:cs="宋体"/>
          <w:sz w:val="21"/>
        </w:rPr>
        <w:t>法律适用</w:t>
      </w:r>
    </w:p>
    <w:p>
      <w:pPr>
        <w:widowControl w:val="0"/>
        <w:numPr>
          <w:ilvl w:val="0"/>
          <w:numId w:val="39"/>
        </w:numPr>
        <w:adjustRightInd w:val="0"/>
        <w:spacing w:line="360" w:lineRule="auto"/>
        <w:jc w:val="both"/>
        <w:textAlignment w:val="baseline"/>
        <w:rPr>
          <w:rFonts w:ascii="宋体" w:hAnsi="宋体" w:cs="宋体"/>
        </w:rPr>
      </w:pPr>
      <w:r>
        <w:rPr>
          <w:rFonts w:ascii="宋体" w:hAnsi="宋体" w:cs="宋体"/>
        </w:rPr>
        <w:t>本次招标及由本次招标产生的合同受中国法律制约和保护。</w:t>
      </w:r>
    </w:p>
    <w:p>
      <w:pPr>
        <w:widowControl w:val="0"/>
        <w:numPr>
          <w:ilvl w:val="0"/>
          <w:numId w:val="39"/>
        </w:numPr>
        <w:adjustRightInd w:val="0"/>
        <w:spacing w:line="360" w:lineRule="auto"/>
        <w:jc w:val="both"/>
        <w:textAlignment w:val="baseline"/>
        <w:rPr>
          <w:rFonts w:ascii="宋体" w:hAnsi="宋体" w:cs="宋体"/>
        </w:rPr>
      </w:pPr>
      <w:r>
        <w:rPr>
          <w:rFonts w:ascii="宋体" w:hAnsi="宋体" w:cs="宋体"/>
        </w:rPr>
        <w:t>投标人一旦领取了本招标文件并参加招标，即被认为接受了本招标文件中的其他所有条件和规定。</w:t>
      </w:r>
    </w:p>
    <w:p>
      <w:pPr>
        <w:pStyle w:val="2"/>
      </w:pPr>
    </w:p>
    <w:p>
      <w:pPr>
        <w:numPr>
          <w:ilvl w:val="0"/>
          <w:numId w:val="38"/>
          <w:ins w:id="23" w:author="liyaqin" w:date="2021-03-16T11:25:31Z"/>
        </w:numPr>
        <w:ind w:firstLine="420" w:firstLineChars="200"/>
        <w:rPr>
          <w:rFonts w:ascii="宋体" w:hAnsi="宋体" w:cs="宋体"/>
          <w:sz w:val="21"/>
        </w:rPr>
      </w:pPr>
      <w:r>
        <w:rPr>
          <w:rFonts w:ascii="宋体" w:hAnsi="宋体" w:cs="宋体"/>
          <w:sz w:val="21"/>
        </w:rPr>
        <w:t>绿色采购</w:t>
      </w:r>
    </w:p>
    <w:p>
      <w:pPr>
        <w:widowControl w:val="0"/>
        <w:numPr>
          <w:ilvl w:val="0"/>
          <w:numId w:val="40"/>
        </w:numPr>
        <w:adjustRightInd w:val="0"/>
        <w:spacing w:line="360" w:lineRule="auto"/>
        <w:jc w:val="both"/>
        <w:textAlignment w:val="baseline"/>
        <w:rPr>
          <w:rFonts w:ascii="宋体" w:hAnsi="宋体" w:cs="宋体"/>
        </w:rPr>
      </w:pPr>
      <w:r>
        <w:rPr>
          <w:rFonts w:ascii="宋体" w:hAnsi="宋体" w:cs="宋体"/>
        </w:rPr>
        <w:t>投标人提供的产品与服务须符合相应的国家绿色认证标准，充分考虑使用方人体健康安全、资源节约和循环利用，减少环境影响等因素。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rPr>
          <w:szCs w:val="22"/>
          <w:lang w:eastAsia="zh-Hans"/>
        </w:rPr>
      </w:pPr>
      <w:r>
        <w:rPr>
          <w:szCs w:val="22"/>
          <w:lang w:eastAsia="zh-Hans"/>
        </w:rPr>
        <w:t>第三章 评标办法</w:t>
      </w:r>
    </w:p>
    <w:p>
      <w:pPr>
        <w:autoSpaceDE w:val="0"/>
        <w:autoSpaceDN w:val="0"/>
        <w:spacing w:line="360" w:lineRule="auto"/>
        <w:jc w:val="center"/>
        <w:rPr>
          <w:rFonts w:ascii="宋体" w:hAnsi="宋体"/>
          <w:sz w:val="21"/>
        </w:rPr>
      </w:pPr>
      <w:r>
        <w:rPr>
          <w:rFonts w:ascii="Songti SC" w:hAnsi="Songti SC" w:eastAsia="Songti SC"/>
          <w:b/>
          <w:color w:val="000000"/>
          <w:sz w:val="21"/>
        </w:rPr>
        <w:t>本项目采用综合评分法</w:t>
      </w:r>
    </w:p>
    <w:p>
      <w:pPr>
        <w:autoSpaceDE w:val="0"/>
        <w:autoSpaceDN w:val="0"/>
        <w:spacing w:line="360" w:lineRule="auto"/>
        <w:jc w:val="center"/>
        <w:rPr>
          <w:rFonts w:ascii="宋体" w:hAnsi="宋体"/>
          <w:sz w:val="21"/>
        </w:rPr>
      </w:pPr>
      <w:r>
        <w:rPr>
          <w:rFonts w:ascii="Songti SC" w:hAnsi="Songti SC" w:eastAsia="Songti SC"/>
          <w:color w:val="000000"/>
          <w:sz w:val="21"/>
        </w:rPr>
        <w:t>（满分：</w:t>
      </w:r>
      <w:r>
        <w:rPr>
          <w:rFonts w:ascii="宋体" w:hAnsi="宋体"/>
          <w:color w:val="000000"/>
          <w:sz w:val="21"/>
        </w:rPr>
        <w:t>100</w:t>
      </w:r>
      <w:r>
        <w:rPr>
          <w:rFonts w:ascii="Songti SC" w:hAnsi="Songti SC" w:eastAsia="Songti SC"/>
          <w:color w:val="000000"/>
          <w:sz w:val="21"/>
        </w:rPr>
        <w:t>分）</w:t>
      </w:r>
    </w:p>
    <w:p>
      <w:pPr>
        <w:rPr>
          <w:rFonts w:ascii="宋体" w:hAnsi="宋体" w:cs="宋体"/>
          <w:color w:val="000000"/>
          <w:sz w:val="21"/>
        </w:rPr>
      </w:pPr>
    </w:p>
    <w:tbl>
      <w:tblPr>
        <w:tblStyle w:val="15"/>
        <w:tblW w:w="8040"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705"/>
        <w:gridCol w:w="1815"/>
        <w:gridCol w:w="4800"/>
        <w:gridCol w:w="720"/>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黑体" w:hAnsi="黑体" w:eastAsia="黑体"/>
                <w:color w:val="000000"/>
                <w:sz w:val="24"/>
              </w:rPr>
              <w:t>序号</w:t>
            </w:r>
          </w:p>
        </w:tc>
        <w:tc>
          <w:tcPr>
            <w:tcW w:w="1815"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黑体" w:hAnsi="黑体" w:eastAsia="黑体"/>
                <w:color w:val="000000"/>
                <w:sz w:val="24"/>
              </w:rPr>
              <w:t>评分项目</w:t>
            </w:r>
          </w:p>
        </w:tc>
        <w:tc>
          <w:tcPr>
            <w:tcW w:w="4800"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黑体" w:hAnsi="黑体" w:eastAsia="黑体"/>
                <w:color w:val="000000"/>
                <w:sz w:val="24"/>
              </w:rPr>
              <w:t>评分内容</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黑体" w:hAnsi="黑体" w:eastAsia="黑体"/>
                <w:color w:val="000000"/>
                <w:sz w:val="24"/>
              </w:rPr>
              <w:t>分值</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一</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综合实力（10分）</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投标人财务状况（包括资产负债、损益情况等），行业影响力，从事积分换礼相关业务年限。</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10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优良得8～10分，较好得4～7分，一般得0～3分。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二</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项目业绩（10分）</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2018年1月1日至投标截止日（以合同签订时间为准），投标人具有银行、品牌商积分换礼合作案例（最多提供10个，根据与本项目内容与规模的相似性及匹配度打分）。</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10</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优良得8～10分，较好得4～7分，一般得0～3分。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三</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商品经销代理能力（10）</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1.在招标人提供的礼品清单范围外，投标人已取得的品牌授权代理情况：根据品牌流行度与公众认可度，与招标人积分换礼业务的适应性进行评分。</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6</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优良得5～6分，较好得3～4分，一般得0～2分。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投标人在提供的0-100元（含）、100元（不含）-200元（含）、200（不含）-500元（含）三档礼品单价价格区间内（单价为含税价格），各提报一款已取得代理授权的礼品：根据礼品流行度与公众认可度，与招标人积分换礼业务的适应性进行评分：</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4</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优良得3分，较好得2分，一般得0～1分。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四</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物流仓储与配送方案（15分）</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1.投标人承诺为招标人配送单价在500元（含税）及以上的礼品时所使用的物流公司，其中，</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4.5</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（1）物流公司为顺丰、EMS、京东物流的，得4.5分。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（2）物流公司为申通、圆通、中通、百世、韵达和中国邮政（不含EMS）的，得2分。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（3）物流公司为其他的，得0分。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如选用多家物流公司，按照在以上3个档次中得分最低的评分。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2.投标人承诺为招标人配送单价在500元（含税）以下（不含500元）的礼品时所使用的物流公司，其中，</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6</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（1）物流公司为顺丰、EMS、京东物流的，得6分。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（2）物流公司为申通、圆通、中通、百世、韵达和中国邮政（不含EMS）的，得3分。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（3）物流公司为其他的，得0分。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如选用多家物流公司，按照在以上3个档次中得分最低的评分。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r>
              <w:rPr>
                <w:rFonts w:ascii="Songti SC" w:hAnsi="Songti SC" w:eastAsia="Songti SC"/>
                <w:color w:val="000000"/>
                <w:sz w:val="21"/>
              </w:rPr>
              <w:t>3.投标人自有或租用（含免费使用）仓库地域覆盖情况，每覆盖以下1个地区（每个地区覆盖1个省/市/自治区即可），得0.5分，最高得4.5分。</w:t>
            </w:r>
          </w:p>
        </w:tc>
        <w:tc>
          <w:tcPr>
            <w:tcW w:w="72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4.5</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（1）华东地区（上海市、江苏省、浙江省、安徽省、江西省、山东省、福建省）</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（2）华北地区（北京市、天津市、山西省、河北省、内蒙古自治区）</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（3）华中地区（河南省、湖北省、湖南省）</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（4）华南地区（广东省、广西壮族自治区、海南省）</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（5）西南地区（重庆市、四川省、贵州省、云南省、西藏自治区）</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（6）西北地区（陕西省、甘肃省、青海省、宁夏回族自治区、新疆维吾尔自治区）</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nil"/>
            </w:tcBorders>
            <w:shd w:val="clear" w:color="auto" w:fill="auto"/>
            <w:tcMar>
              <w:top w:w="15" w:type="dxa"/>
              <w:left w:w="15" w:type="dxa"/>
              <w:bottom w:w="15" w:type="dxa"/>
              <w:right w:w="15" w:type="dxa"/>
            </w:tcMar>
            <w:vAlign w:val="center"/>
          </w:tcPr>
          <w:p>
            <w:pPr>
              <w:rPr>
                <w:rFonts w:ascii="Songti SC" w:hAnsi="Songti SC" w:eastAsia="Songti SC" w:cs="宋体"/>
                <w:color w:val="000000"/>
                <w:sz w:val="21"/>
              </w:rPr>
            </w:pPr>
            <w:r>
              <w:rPr>
                <w:rFonts w:ascii="Songti SC" w:hAnsi="Songti SC" w:eastAsia="Songti SC" w:cs="宋体"/>
                <w:color w:val="000000"/>
                <w:sz w:val="21"/>
              </w:rPr>
              <w:t>（7）东北地区（黑龙江省、吉林省、辽宁省）</w:t>
            </w:r>
          </w:p>
        </w:tc>
        <w:tc>
          <w:tcPr>
            <w:tcW w:w="720" w:type="dxa"/>
            <w:vMerge w:val="continue"/>
            <w:tcBorders>
              <w:top w:val="nil"/>
              <w:left w:val="single" w:color="000000" w:sz="8" w:space="0"/>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五</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服务能力（20分）</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1.整体服务方案，包括产品质量控制、为兑吧配备专属客服的情况（包括客服人员数量与经验、客服呼入路数及号码）、退换货方案、客户投诉预防与处理方案、客户信息安全保护方案等。</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6</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优良得5～6分，较好得3～4分，一般得0～2分。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2.系统开发能力，包括投标人按招标人要求实现相关系统搭建与对接的能力，以及独立设计商品页面的能力，其中，</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6</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（1）与物流公司平台API对接提供物流信息的案例，或投标人使用自有物流提供物流信息的案例，每个得1分，最高得2分；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（2）商品详情页面、设计开发案例，每个得1分，最高得2分。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3.营销活动设计策划与执行能力，曾为客户提供营销活动设计策划与执行的相关案例，最多提供3个案例，根据营销活动的创意性以及营销效果进行评分。</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4</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优良得3分，较好得2分，一般得0～1分。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4.可提供的增值服务，如：爆款礼品推荐、招标人同业及礼品行业市场商情调查咨询与数据分析等。</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4</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优良得3分，较好得2分，一般得0～1分。</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六</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折扣（35分）</w:t>
            </w: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根据招标文件中的商品分类，二级分类共50种。所有分类折扣分满分为35分，每种分类的折扣分权重占比为35/50。</w:t>
            </w:r>
          </w:p>
        </w:tc>
        <w:tc>
          <w:tcPr>
            <w:tcW w:w="72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35</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取每个类目的投标人报价平均值</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投标人折扣得分=低于平均值的类目个数/50*35</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注：</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（1）投标人应按照招标文件规定的统一格式填写折扣报价一览表，折扣报价一览表中的缺漏报价（含无效报价）按照其它投标人该类目有效报价中的最高折扣计算，计入评标价。</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（2）如所有合格投标人中针对某一类目的有效报价未达到3家，则取消该类目的采购,所有投标人该项礼品价格分均为0，但礼品经销代理能力的相关计分仍保留。</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vMerge w:val="continue"/>
            <w:tcBorders>
              <w:top w:val="nil"/>
              <w:left w:val="single" w:color="000000" w:sz="8" w:space="0"/>
              <w:bottom w:val="single" w:color="000000" w:sz="8" w:space="0"/>
              <w:right w:val="single" w:color="000000" w:sz="8" w:space="0"/>
            </w:tcBorders>
            <w:shd w:val="clear" w:color="auto" w:fill="auto"/>
          </w:tcPr>
          <w:p/>
        </w:tc>
        <w:tc>
          <w:tcPr>
            <w:tcW w:w="1815" w:type="dxa"/>
            <w:vMerge w:val="continue"/>
            <w:tcBorders>
              <w:top w:val="nil"/>
              <w:left w:val="nil"/>
              <w:bottom w:val="single" w:color="000000" w:sz="8" w:space="0"/>
              <w:right w:val="single" w:color="000000" w:sz="8" w:space="0"/>
            </w:tcBorders>
            <w:shd w:val="clear" w:color="auto" w:fill="auto"/>
          </w:tcPr>
          <w:p/>
        </w:tc>
        <w:tc>
          <w:tcPr>
            <w:tcW w:w="480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（3）计算得分四舍五入，精确到小数点后两位。</w:t>
            </w:r>
          </w:p>
        </w:tc>
        <w:tc>
          <w:tcPr>
            <w:tcW w:w="720" w:type="dxa"/>
            <w:vMerge w:val="continue"/>
            <w:tcBorders>
              <w:top w:val="nil"/>
              <w:left w:val="nil"/>
              <w:bottom w:val="single" w:color="000000" w:sz="8" w:space="0"/>
              <w:right w:val="single" w:color="000000" w:sz="8" w:space="0"/>
            </w:tcBorders>
            <w:shd w:val="clear" w:color="auto" w:fill="auto"/>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705"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合计</w:t>
            </w:r>
          </w:p>
        </w:tc>
        <w:tc>
          <w:tcPr>
            <w:tcW w:w="6615"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以上各项之和即为投标人综合得分</w:t>
            </w:r>
          </w:p>
        </w:tc>
        <w:tc>
          <w:tcPr>
            <w:tcW w:w="72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100</w:t>
            </w:r>
          </w:p>
        </w:tc>
      </w:tr>
    </w:tbl>
    <w:p>
      <w:pPr>
        <w:autoSpaceDE w:val="0"/>
        <w:autoSpaceDN w:val="0"/>
        <w:spacing w:line="312" w:lineRule="auto"/>
        <w:jc w:val="both"/>
        <w:rPr>
          <w:rFonts w:ascii="宋体" w:hAnsi="宋体"/>
          <w:sz w:val="21"/>
        </w:rPr>
      </w:pPr>
      <w:r>
        <w:rPr>
          <w:rFonts w:ascii="Songti SC" w:hAnsi="Songti SC" w:eastAsia="Songti SC"/>
          <w:color w:val="000000"/>
          <w:sz w:val="21"/>
        </w:rPr>
        <w:t>备注：</w:t>
      </w:r>
    </w:p>
    <w:p>
      <w:pPr>
        <w:spacing w:line="360" w:lineRule="auto"/>
        <w:ind w:firstLine="420"/>
        <w:jc w:val="both"/>
        <w:rPr>
          <w:rFonts w:ascii="宋体" w:hAnsi="宋体"/>
          <w:sz w:val="21"/>
        </w:rPr>
      </w:pPr>
      <w:r>
        <w:rPr>
          <w:rFonts w:ascii="宋体" w:hAnsi="宋体"/>
          <w:b/>
          <w:color w:val="000000"/>
          <w:sz w:val="21"/>
        </w:rPr>
        <w:t>1.</w:t>
      </w:r>
      <w:r>
        <w:rPr>
          <w:rFonts w:ascii="Songti SC" w:hAnsi="Songti SC" w:eastAsia="Songti SC"/>
          <w:b/>
          <w:color w:val="000000"/>
          <w:sz w:val="21"/>
        </w:rPr>
        <w:t>计算得分应四舍五入，精确到小数点后两位。</w:t>
      </w:r>
    </w:p>
    <w:p>
      <w:pPr>
        <w:spacing w:line="360" w:lineRule="auto"/>
        <w:ind w:firstLine="420"/>
        <w:jc w:val="both"/>
        <w:rPr>
          <w:rFonts w:ascii="宋体" w:hAnsi="宋体"/>
          <w:sz w:val="21"/>
        </w:rPr>
      </w:pPr>
      <w:r>
        <w:rPr>
          <w:rFonts w:ascii="宋体" w:hAnsi="宋体"/>
          <w:b/>
          <w:color w:val="000000"/>
          <w:sz w:val="21"/>
        </w:rPr>
        <w:t>2.</w:t>
      </w:r>
      <w:r>
        <w:rPr>
          <w:rFonts w:ascii="Songti SC" w:hAnsi="Songti SC" w:eastAsia="Songti SC"/>
          <w:b/>
          <w:color w:val="000000"/>
          <w:sz w:val="21"/>
        </w:rPr>
        <w:t>在评标过程中，评标委员会发现投标人的报价明显低于其他投标报价，使得其投标报价可能低于其个别成本的，将可能要求该投标人作出书面说明并提供相关证明材料。投标人不能合理说明或者不能提供相关证明材料的，由评标委员会认定该投标人以低于成本报价竞标，将可能否决其投标。</w:t>
      </w:r>
    </w:p>
    <w:p>
      <w:pPr>
        <w:spacing w:line="360" w:lineRule="auto"/>
        <w:ind w:firstLine="420"/>
        <w:jc w:val="both"/>
        <w:rPr>
          <w:rFonts w:ascii="Songti SC" w:hAnsi="Songti SC" w:eastAsia="Songti SC"/>
          <w:b/>
          <w:color w:val="000000"/>
          <w:sz w:val="21"/>
        </w:rPr>
      </w:pPr>
      <w:r>
        <w:rPr>
          <w:rFonts w:ascii="Songti SC" w:hAnsi="Songti SC" w:eastAsia="Songti SC"/>
          <w:b/>
          <w:color w:val="000000"/>
          <w:sz w:val="21"/>
        </w:rPr>
        <w:t>3、本项目评标为确定入围供应商，合作中以询价价低者为实际供应商。</w:t>
      </w:r>
    </w:p>
    <w:p>
      <w:pPr>
        <w:spacing w:line="360" w:lineRule="auto"/>
        <w:jc w:val="both"/>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2"/>
        <w:rPr>
          <w:rFonts w:ascii="Songti SC" w:hAnsi="Songti SC" w:eastAsia="Songti SC"/>
          <w:b/>
          <w:color w:val="000000"/>
          <w:sz w:val="21"/>
        </w:rPr>
      </w:pPr>
    </w:p>
    <w:p>
      <w:pPr>
        <w:pStyle w:val="4"/>
        <w:rPr>
          <w:szCs w:val="22"/>
          <w:lang w:eastAsia="zh-Hans"/>
        </w:rPr>
      </w:pPr>
      <w:r>
        <w:rPr>
          <w:szCs w:val="22"/>
          <w:lang w:eastAsia="zh-Hans"/>
        </w:rPr>
        <w:t>第四章 技术要求与服务内容</w:t>
      </w: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hint="eastAsia" w:ascii="Times New Roman" w:hAnsi="Times New Roman" w:eastAsia="宋体"/>
          <w:sz w:val="21"/>
          <w:szCs w:val="21"/>
        </w:rPr>
        <w:t>一、采购标的</w:t>
      </w:r>
    </w:p>
    <w:p>
      <w:pPr>
        <w:numPr>
          <w:ilvl w:val="0"/>
          <w:numId w:val="41"/>
        </w:numPr>
        <w:spacing w:line="360" w:lineRule="auto"/>
        <w:ind w:firstLineChars="200"/>
        <w:jc w:val="both"/>
        <w:rPr>
          <w:rFonts w:ascii="Songti SC" w:hAnsi="Songti SC" w:eastAsia="Songti SC"/>
          <w:color w:val="000000"/>
          <w:sz w:val="21"/>
        </w:rPr>
      </w:pPr>
      <w:r>
        <w:rPr>
          <w:rFonts w:ascii="Songti SC" w:hAnsi="Songti SC" w:eastAsia="Songti SC"/>
          <w:color w:val="000000"/>
          <w:sz w:val="21"/>
        </w:rPr>
        <w:t>概述</w:t>
      </w:r>
    </w:p>
    <w:p>
      <w:pPr>
        <w:spacing w:line="360" w:lineRule="auto"/>
        <w:ind w:firstLine="400" w:firstLineChars="200"/>
        <w:rPr>
          <w:rFonts w:ascii="宋体" w:hAnsi="宋体" w:cs="宋体"/>
          <w:szCs w:val="21"/>
        </w:rPr>
      </w:pPr>
      <w:r>
        <w:rPr>
          <w:rFonts w:ascii="宋体" w:hAnsi="宋体" w:cs="宋体"/>
          <w:szCs w:val="21"/>
        </w:rPr>
        <w:t>通用类积分供应商是指所提供商品种类多、品牌范围广，且在客户服务、商品价格等方面具备综合优势的供应商。为适时跟进市场热点趋势，确保在架商品吸引力，采用入围+二次询价模式，即先通过公开招标采购3家入围供应商，后续商品更替、价格更新可由兑吧在入围供应商中通过定期二次询价方式确定实际供货商。</w:t>
      </w:r>
    </w:p>
    <w:p>
      <w:pPr>
        <w:rPr>
          <w:sz w:val="21"/>
        </w:rPr>
      </w:pPr>
    </w:p>
    <w:tbl>
      <w:tblPr>
        <w:tblStyle w:val="15"/>
        <w:tblW w:w="0" w:type="auto"/>
        <w:tblInd w:w="135" w:type="dxa"/>
        <w:tblBorders>
          <w:top w:val="single" w:color="000000" w:sz="4" w:space="0"/>
          <w:left w:val="single" w:color="000000" w:sz="4" w:space="0"/>
          <w:bottom w:val="single" w:color="000000" w:sz="4" w:space="0"/>
          <w:right w:val="singl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3246"/>
        <w:gridCol w:w="1013"/>
        <w:gridCol w:w="1877"/>
        <w:gridCol w:w="2042"/>
      </w:tblGrid>
      <w:tr>
        <w:tblPrEx>
          <w:tblBorders>
            <w:top w:val="single" w:color="000000" w:sz="4" w:space="0"/>
            <w:left w:val="single" w:color="000000" w:sz="4" w:space="0"/>
            <w:bottom w:val="single" w:color="000000" w:sz="4" w:space="0"/>
            <w:right w:val="single" w:color="000000" w:sz="4" w:space="0"/>
            <w:insideH w:val="none" w:color="000000" w:sz="4" w:space="0"/>
            <w:insideV w:val="none" w:color="000000" w:sz="4" w:space="0"/>
          </w:tblBorders>
        </w:tblPrEx>
        <w:tc>
          <w:tcPr>
            <w:tcW w:w="32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b/>
                <w:color w:val="000000"/>
                <w:sz w:val="21"/>
              </w:rPr>
              <w:t>采购内容</w:t>
            </w:r>
          </w:p>
        </w:tc>
        <w:tc>
          <w:tcPr>
            <w:tcW w:w="1013"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b/>
                <w:color w:val="000000"/>
                <w:sz w:val="21"/>
              </w:rPr>
              <w:t>类别</w:t>
            </w:r>
          </w:p>
        </w:tc>
        <w:tc>
          <w:tcPr>
            <w:tcW w:w="187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b/>
                <w:color w:val="000000"/>
                <w:sz w:val="21"/>
              </w:rPr>
              <w:t>入围供应商数量</w:t>
            </w:r>
          </w:p>
        </w:tc>
        <w:tc>
          <w:tcPr>
            <w:tcW w:w="2042"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b/>
                <w:color w:val="000000"/>
                <w:sz w:val="21"/>
              </w:rPr>
              <w:t>部署位置/使用单位</w:t>
            </w:r>
          </w:p>
        </w:tc>
      </w:tr>
      <w:tr>
        <w:tblPrEx>
          <w:tblBorders>
            <w:top w:val="single" w:color="000000" w:sz="4" w:space="0"/>
            <w:left w:val="single" w:color="000000" w:sz="4" w:space="0"/>
            <w:bottom w:val="single" w:color="000000" w:sz="4" w:space="0"/>
            <w:right w:val="single" w:color="000000" w:sz="4" w:space="0"/>
            <w:insideH w:val="none" w:color="000000" w:sz="4" w:space="0"/>
            <w:insideV w:val="none" w:color="000000" w:sz="4" w:space="0"/>
          </w:tblBorders>
        </w:tblPrEx>
        <w:tc>
          <w:tcPr>
            <w:tcW w:w="32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left"/>
              <w:rPr>
                <w:sz w:val="21"/>
              </w:rPr>
            </w:pPr>
            <w:r>
              <w:rPr>
                <w:rFonts w:ascii="Songti SC" w:hAnsi="Songti SC" w:eastAsia="Songti SC"/>
                <w:color w:val="000000"/>
                <w:sz w:val="21"/>
              </w:rPr>
              <w:t>杭州兑吧网络科技有限公司商品供应商（通用类礼品）</w:t>
            </w:r>
          </w:p>
        </w:tc>
        <w:tc>
          <w:tcPr>
            <w:tcW w:w="1013"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color w:val="000000"/>
                <w:sz w:val="21"/>
              </w:rPr>
              <w:t>货物</w:t>
            </w:r>
          </w:p>
        </w:tc>
        <w:tc>
          <w:tcPr>
            <w:tcW w:w="187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spacing w:line="360" w:lineRule="auto"/>
              <w:jc w:val="center"/>
              <w:rPr>
                <w:sz w:val="21"/>
              </w:rPr>
            </w:pPr>
            <w:r>
              <w:rPr>
                <w:rFonts w:ascii="Songti SC" w:hAnsi="Songti SC" w:eastAsia="Songti SC"/>
                <w:color w:val="000000"/>
                <w:sz w:val="21"/>
              </w:rPr>
              <w:t>3家</w:t>
            </w:r>
          </w:p>
        </w:tc>
        <w:tc>
          <w:tcPr>
            <w:tcW w:w="2042"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pPr>
            <w:r>
              <w:t>兑吧合作客户</w:t>
            </w:r>
          </w:p>
        </w:tc>
      </w:tr>
    </w:tbl>
    <w:p>
      <w:pPr>
        <w:spacing w:line="360" w:lineRule="auto"/>
        <w:jc w:val="both"/>
        <w:rPr>
          <w:rFonts w:ascii="Songti SC" w:hAnsi="Songti SC" w:eastAsia="Songti SC"/>
          <w:color w:val="000000"/>
          <w:sz w:val="21"/>
        </w:rPr>
      </w:pPr>
    </w:p>
    <w:p>
      <w:pPr>
        <w:spacing w:line="360" w:lineRule="auto"/>
        <w:ind w:firstLine="400" w:firstLineChars="200"/>
        <w:rPr>
          <w:rFonts w:ascii="宋体" w:hAnsi="宋体" w:cs="宋体"/>
          <w:b/>
          <w:bCs/>
          <w:szCs w:val="21"/>
        </w:rPr>
      </w:pPr>
      <w:r>
        <w:rPr>
          <w:rFonts w:ascii="宋体" w:hAnsi="宋体" w:cs="宋体"/>
          <w:b/>
          <w:bCs/>
          <w:szCs w:val="21"/>
        </w:rPr>
        <w:t>折扣清单如下：</w:t>
      </w:r>
    </w:p>
    <w:tbl>
      <w:tblPr>
        <w:tblStyle w:val="15"/>
        <w:tblW w:w="5670"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1230"/>
        <w:gridCol w:w="2445"/>
        <w:gridCol w:w="1995"/>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sz w:val="21"/>
              </w:rPr>
              <w:t>一级类目</w:t>
            </w:r>
          </w:p>
        </w:tc>
        <w:tc>
          <w:tcPr>
            <w:tcW w:w="2445"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sz w:val="21"/>
              </w:rPr>
              <w:t>二级类目</w:t>
            </w:r>
          </w:p>
        </w:tc>
        <w:tc>
          <w:tcPr>
            <w:tcW w:w="1995"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rPr>
              <w:t>对比市场参考价的折扣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箱包配饰</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箱包皮具</w:t>
            </w:r>
            <w:r>
              <w:rPr>
                <w:rFonts w:ascii="Calibri" w:hAnsi="Calibri" w:cs="Calibri"/>
                <w:color w:val="000000"/>
                <w:sz w:val="21"/>
              </w:rPr>
              <w:t>/</w:t>
            </w:r>
            <w:r>
              <w:rPr>
                <w:rFonts w:ascii="Times New Roman" w:hAnsi="Times New Roman" w:cs="Times New Roman"/>
                <w:color w:val="000000"/>
                <w:sz w:val="21"/>
              </w:rPr>
              <w:t>热销女包</w:t>
            </w:r>
            <w:r>
              <w:rPr>
                <w:rFonts w:ascii="Calibri" w:hAnsi="Calibri" w:cs="Calibri"/>
                <w:color w:val="000000"/>
                <w:sz w:val="21"/>
              </w:rPr>
              <w:t>/</w:t>
            </w:r>
            <w:r>
              <w:rPr>
                <w:rFonts w:ascii="Times New Roman" w:hAnsi="Times New Roman" w:cs="Times New Roman"/>
                <w:color w:val="000000"/>
                <w:sz w:val="21"/>
              </w:rPr>
              <w:t>男包</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手表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饰品</w:t>
            </w:r>
            <w:r>
              <w:rPr>
                <w:rFonts w:ascii="Calibri" w:hAnsi="Calibri" w:cs="Calibri"/>
                <w:color w:val="000000"/>
                <w:sz w:val="21"/>
              </w:rPr>
              <w:t>/</w:t>
            </w:r>
            <w:r>
              <w:rPr>
                <w:rFonts w:ascii="Times New Roman" w:hAnsi="Times New Roman" w:cs="Times New Roman"/>
                <w:color w:val="000000"/>
                <w:sz w:val="21"/>
              </w:rPr>
              <w:t>流行首饰</w:t>
            </w:r>
            <w:r>
              <w:rPr>
                <w:rFonts w:ascii="Calibri" w:hAnsi="Calibri" w:cs="Calibri"/>
                <w:color w:val="000000"/>
                <w:sz w:val="21"/>
              </w:rPr>
              <w:t>/</w:t>
            </w:r>
            <w:r>
              <w:rPr>
                <w:rFonts w:ascii="Times New Roman" w:hAnsi="Times New Roman" w:cs="Times New Roman"/>
                <w:color w:val="000000"/>
                <w:sz w:val="21"/>
              </w:rPr>
              <w:t>时尚饰品新</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运动户外</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运动</w:t>
            </w:r>
            <w:r>
              <w:rPr>
                <w:rFonts w:ascii="Calibri" w:hAnsi="Calibri" w:cs="Calibri"/>
                <w:color w:val="000000"/>
                <w:sz w:val="21"/>
              </w:rPr>
              <w:t>/</w:t>
            </w:r>
            <w:r>
              <w:rPr>
                <w:rFonts w:ascii="Times New Roman" w:hAnsi="Times New Roman" w:cs="Times New Roman"/>
                <w:color w:val="000000"/>
                <w:sz w:val="21"/>
              </w:rPr>
              <w:t>瑜伽</w:t>
            </w:r>
            <w:r>
              <w:rPr>
                <w:rFonts w:ascii="Calibri" w:hAnsi="Calibri" w:cs="Calibri"/>
                <w:color w:val="000000"/>
                <w:sz w:val="21"/>
              </w:rPr>
              <w:t>/</w:t>
            </w:r>
            <w:r>
              <w:rPr>
                <w:rFonts w:ascii="Times New Roman" w:hAnsi="Times New Roman" w:cs="Times New Roman"/>
                <w:color w:val="000000"/>
                <w:sz w:val="21"/>
              </w:rPr>
              <w:t>健身</w:t>
            </w:r>
            <w:r>
              <w:rPr>
                <w:rFonts w:ascii="Calibri" w:hAnsi="Calibri" w:cs="Calibri"/>
                <w:color w:val="000000"/>
                <w:sz w:val="21"/>
              </w:rPr>
              <w:t>/</w:t>
            </w:r>
            <w:r>
              <w:rPr>
                <w:rFonts w:ascii="Songti SC" w:hAnsi="Songti SC" w:eastAsia="Songti SC"/>
                <w:color w:val="333333"/>
                <w:sz w:val="21"/>
              </w:rPr>
              <w:t>球迷用品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自行车</w:t>
            </w:r>
            <w:r>
              <w:rPr>
                <w:rFonts w:ascii="Calibri" w:hAnsi="Calibri" w:cs="Calibri"/>
                <w:color w:val="000000"/>
                <w:sz w:val="21"/>
              </w:rPr>
              <w:t>/</w:t>
            </w:r>
            <w:r>
              <w:rPr>
                <w:rFonts w:ascii="Times New Roman" w:hAnsi="Times New Roman" w:cs="Times New Roman"/>
                <w:color w:val="000000"/>
                <w:sz w:val="21"/>
              </w:rPr>
              <w:t>骑行装备</w:t>
            </w:r>
            <w:r>
              <w:rPr>
                <w:rFonts w:ascii="Calibri" w:hAnsi="Calibri" w:cs="Calibri"/>
                <w:color w:val="000000"/>
                <w:sz w:val="21"/>
              </w:rPr>
              <w:t>/</w:t>
            </w:r>
            <w:r>
              <w:rPr>
                <w:rFonts w:ascii="Times New Roman" w:hAnsi="Times New Roman" w:cs="Times New Roman"/>
                <w:color w:val="000000"/>
                <w:sz w:val="21"/>
              </w:rPr>
              <w:t>零配件</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户外</w:t>
            </w:r>
            <w:r>
              <w:rPr>
                <w:rFonts w:ascii="Calibri" w:hAnsi="Calibri" w:cs="Calibri"/>
                <w:color w:val="000000"/>
                <w:sz w:val="21"/>
              </w:rPr>
              <w:t>/</w:t>
            </w:r>
            <w:r>
              <w:rPr>
                <w:rFonts w:ascii="Times New Roman" w:hAnsi="Times New Roman" w:cs="Times New Roman"/>
                <w:color w:val="000000"/>
                <w:sz w:val="21"/>
              </w:rPr>
              <w:t>登山</w:t>
            </w:r>
            <w:r>
              <w:rPr>
                <w:rFonts w:ascii="Calibri" w:hAnsi="Calibri" w:cs="Calibri"/>
                <w:color w:val="000000"/>
                <w:sz w:val="21"/>
              </w:rPr>
              <w:t>/</w:t>
            </w:r>
            <w:r>
              <w:rPr>
                <w:rFonts w:ascii="Times New Roman" w:hAnsi="Times New Roman" w:cs="Times New Roman"/>
                <w:color w:val="000000"/>
                <w:sz w:val="21"/>
              </w:rPr>
              <w:t>野营</w:t>
            </w:r>
            <w:r>
              <w:rPr>
                <w:rFonts w:ascii="Calibri" w:hAnsi="Calibri" w:cs="Calibri"/>
                <w:color w:val="000000"/>
                <w:sz w:val="21"/>
              </w:rPr>
              <w:t>/</w:t>
            </w:r>
            <w:r>
              <w:rPr>
                <w:rFonts w:ascii="Songti SC" w:hAnsi="Songti SC" w:eastAsia="Songti SC"/>
                <w:color w:val="333333"/>
                <w:sz w:val="21"/>
              </w:rPr>
              <w:t>旅行用品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运动包</w:t>
            </w:r>
            <w:r>
              <w:rPr>
                <w:rFonts w:ascii="Calibri" w:hAnsi="Calibri" w:cs="Calibri"/>
                <w:color w:val="000000"/>
                <w:sz w:val="21"/>
              </w:rPr>
              <w:t>/</w:t>
            </w:r>
            <w:r>
              <w:rPr>
                <w:rFonts w:ascii="Times New Roman" w:hAnsi="Times New Roman" w:cs="Times New Roman"/>
                <w:color w:val="000000"/>
                <w:sz w:val="21"/>
              </w:rPr>
              <w:t>户外包</w:t>
            </w:r>
            <w:r>
              <w:rPr>
                <w:rFonts w:ascii="Calibri" w:hAnsi="Calibri" w:cs="Calibri"/>
                <w:color w:val="000000"/>
                <w:sz w:val="21"/>
              </w:rPr>
              <w:t>/</w:t>
            </w:r>
            <w:r>
              <w:rPr>
                <w:rFonts w:ascii="Times New Roman" w:hAnsi="Times New Roman" w:cs="Times New Roman"/>
                <w:color w:val="000000"/>
                <w:sz w:val="21"/>
              </w:rPr>
              <w:t>配件</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化妆品（含美容工具）</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彩妆</w:t>
            </w:r>
            <w:r>
              <w:rPr>
                <w:rFonts w:ascii="Calibri" w:hAnsi="Calibri" w:cs="Calibri"/>
                <w:color w:val="000000"/>
                <w:sz w:val="21"/>
              </w:rPr>
              <w:t>/</w:t>
            </w:r>
            <w:r>
              <w:rPr>
                <w:rFonts w:ascii="Times New Roman" w:hAnsi="Times New Roman" w:cs="Times New Roman"/>
                <w:color w:val="000000"/>
                <w:sz w:val="21"/>
              </w:rPr>
              <w:t>香水</w:t>
            </w:r>
            <w:r>
              <w:rPr>
                <w:rFonts w:ascii="Calibri" w:hAnsi="Calibri" w:cs="Calibri"/>
                <w:color w:val="000000"/>
                <w:sz w:val="21"/>
              </w:rPr>
              <w:t>/</w:t>
            </w:r>
            <w:r>
              <w:rPr>
                <w:rFonts w:ascii="Times New Roman" w:hAnsi="Times New Roman" w:cs="Times New Roman"/>
                <w:color w:val="000000"/>
                <w:sz w:val="21"/>
              </w:rPr>
              <w:t>美妆工具</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美发护发</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美容护肤</w:t>
            </w:r>
            <w:r>
              <w:rPr>
                <w:rFonts w:ascii="Calibri" w:hAnsi="Calibri" w:cs="Calibri"/>
                <w:color w:val="000000"/>
                <w:sz w:val="21"/>
              </w:rPr>
              <w:t>/</w:t>
            </w:r>
            <w:r>
              <w:rPr>
                <w:rFonts w:ascii="Times New Roman" w:hAnsi="Times New Roman" w:cs="Times New Roman"/>
                <w:color w:val="000000"/>
                <w:sz w:val="21"/>
              </w:rPr>
              <w:t>美体</w:t>
            </w:r>
            <w:r>
              <w:rPr>
                <w:rFonts w:ascii="Calibri" w:hAnsi="Calibri" w:cs="Calibri"/>
                <w:color w:val="000000"/>
                <w:sz w:val="21"/>
              </w:rPr>
              <w:t>/</w:t>
            </w:r>
            <w:r>
              <w:rPr>
                <w:rFonts w:ascii="Times New Roman" w:hAnsi="Times New Roman" w:cs="Times New Roman"/>
                <w:color w:val="000000"/>
                <w:sz w:val="21"/>
              </w:rPr>
              <w:t>精油</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美容美体仪器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Calibri" w:hAnsi="Calibri" w:cs="Calibri"/>
                <w:color w:val="000000"/>
                <w:sz w:val="21"/>
              </w:rPr>
              <w:t>家装家具家纺</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家居饰品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床上用品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居家布艺</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rPr>
              <w:t>汽车及配件</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汽车用品</w:t>
            </w:r>
            <w:r>
              <w:rPr>
                <w:rFonts w:ascii="Calibri" w:hAnsi="Calibri" w:cs="Calibri"/>
                <w:color w:val="000000"/>
                <w:sz w:val="21"/>
              </w:rPr>
              <w:t>/</w:t>
            </w:r>
            <w:r>
              <w:rPr>
                <w:rFonts w:ascii="Times New Roman" w:hAnsi="Times New Roman" w:cs="Times New Roman"/>
                <w:color w:val="000000"/>
                <w:sz w:val="21"/>
              </w:rPr>
              <w:t>电子</w:t>
            </w:r>
            <w:r>
              <w:rPr>
                <w:rFonts w:ascii="Calibri" w:hAnsi="Calibri" w:cs="Calibri"/>
                <w:color w:val="000000"/>
                <w:sz w:val="21"/>
              </w:rPr>
              <w:t>/</w:t>
            </w:r>
            <w:r>
              <w:rPr>
                <w:rFonts w:ascii="Songti SC" w:hAnsi="Songti SC" w:eastAsia="Songti SC"/>
                <w:color w:val="333333"/>
                <w:sz w:val="21"/>
              </w:rPr>
              <w:t>清洗</w:t>
            </w:r>
            <w:r>
              <w:rPr>
                <w:rFonts w:ascii="Calibri" w:hAnsi="Calibri" w:cs="Calibri"/>
                <w:color w:val="333333"/>
                <w:sz w:val="21"/>
              </w:rPr>
              <w:t>/</w:t>
            </w:r>
            <w:r>
              <w:rPr>
                <w:rFonts w:ascii="Songti SC" w:hAnsi="Songti SC" w:eastAsia="Songti SC"/>
                <w:color w:val="333333"/>
                <w:sz w:val="21"/>
              </w:rPr>
              <w:t>改装</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Calibri" w:hAnsi="Calibri" w:cs="Calibri"/>
                <w:color w:val="000000"/>
                <w:sz w:val="21"/>
              </w:rPr>
              <w:t>居家日用</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居家日用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收纳整理</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家庭</w:t>
            </w:r>
            <w:r>
              <w:rPr>
                <w:rFonts w:ascii="Calibri" w:hAnsi="Calibri" w:cs="Calibri"/>
                <w:color w:val="000000"/>
                <w:sz w:val="21"/>
              </w:rPr>
              <w:t>/</w:t>
            </w:r>
            <w:r>
              <w:rPr>
                <w:rFonts w:ascii="Times New Roman" w:hAnsi="Times New Roman" w:cs="Times New Roman"/>
                <w:color w:val="000000"/>
                <w:sz w:val="21"/>
              </w:rPr>
              <w:t>个人清洁工具</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洗护清洁剂</w:t>
            </w:r>
            <w:r>
              <w:rPr>
                <w:rFonts w:ascii="Calibri" w:hAnsi="Calibri" w:cs="Calibri"/>
                <w:color w:val="000000"/>
                <w:sz w:val="21"/>
              </w:rPr>
              <w:t>/</w:t>
            </w:r>
            <w:r>
              <w:rPr>
                <w:rFonts w:ascii="Times New Roman" w:hAnsi="Times New Roman" w:cs="Times New Roman"/>
                <w:color w:val="000000"/>
                <w:sz w:val="21"/>
              </w:rPr>
              <w:t>卫生巾</w:t>
            </w:r>
            <w:r>
              <w:rPr>
                <w:rFonts w:ascii="Calibri" w:hAnsi="Calibri" w:cs="Calibri"/>
                <w:color w:val="000000"/>
                <w:sz w:val="21"/>
              </w:rPr>
              <w:t>/</w:t>
            </w:r>
            <w:r>
              <w:rPr>
                <w:rFonts w:ascii="Times New Roman" w:hAnsi="Times New Roman" w:cs="Times New Roman"/>
                <w:color w:val="000000"/>
                <w:sz w:val="21"/>
              </w:rPr>
              <w:t>纸</w:t>
            </w:r>
            <w:r>
              <w:rPr>
                <w:rFonts w:ascii="Calibri" w:hAnsi="Calibri" w:cs="Calibri"/>
                <w:color w:val="000000"/>
                <w:sz w:val="21"/>
              </w:rPr>
              <w:t>/</w:t>
            </w:r>
            <w:r>
              <w:rPr>
                <w:rFonts w:ascii="Songti SC" w:hAnsi="Songti SC" w:eastAsia="Songti SC"/>
                <w:color w:val="333333"/>
                <w:sz w:val="21"/>
              </w:rPr>
              <w:t>香薰</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厨房</w:t>
            </w:r>
            <w:r>
              <w:rPr>
                <w:rFonts w:ascii="Calibri" w:hAnsi="Calibri" w:cs="Calibri"/>
                <w:color w:val="000000"/>
                <w:sz w:val="21"/>
              </w:rPr>
              <w:t>/</w:t>
            </w:r>
            <w:r>
              <w:rPr>
                <w:rFonts w:ascii="Times New Roman" w:hAnsi="Times New Roman" w:cs="Times New Roman"/>
                <w:color w:val="000000"/>
                <w:sz w:val="21"/>
              </w:rPr>
              <w:t>烹饪用具</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餐饮具</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母婴</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奶粉</w:t>
            </w:r>
            <w:r>
              <w:rPr>
                <w:rFonts w:ascii="Calibri" w:hAnsi="Calibri" w:cs="Calibri"/>
                <w:color w:val="000000"/>
                <w:sz w:val="21"/>
              </w:rPr>
              <w:t>/</w:t>
            </w:r>
            <w:r>
              <w:rPr>
                <w:rFonts w:ascii="Times New Roman" w:hAnsi="Times New Roman" w:cs="Times New Roman"/>
                <w:color w:val="000000"/>
                <w:sz w:val="21"/>
              </w:rPr>
              <w:t>辅食</w:t>
            </w:r>
            <w:r>
              <w:rPr>
                <w:rFonts w:ascii="Calibri" w:hAnsi="Calibri" w:cs="Calibri"/>
                <w:color w:val="000000"/>
                <w:sz w:val="21"/>
              </w:rPr>
              <w:t>/</w:t>
            </w:r>
            <w:r>
              <w:rPr>
                <w:rFonts w:ascii="Times New Roman" w:hAnsi="Times New Roman" w:cs="Times New Roman"/>
                <w:color w:val="000000"/>
                <w:sz w:val="21"/>
              </w:rPr>
              <w:t>营养品</w:t>
            </w:r>
            <w:r>
              <w:rPr>
                <w:rFonts w:ascii="Calibri" w:hAnsi="Calibri" w:cs="Calibri"/>
                <w:color w:val="000000"/>
                <w:sz w:val="21"/>
              </w:rPr>
              <w:t>/</w:t>
            </w:r>
            <w:r>
              <w:rPr>
                <w:rFonts w:ascii="Songti SC" w:hAnsi="Songti SC" w:eastAsia="Songti SC"/>
                <w:color w:val="333333"/>
                <w:sz w:val="21"/>
              </w:rPr>
              <w:t>零食</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玩具</w:t>
            </w:r>
            <w:r>
              <w:rPr>
                <w:rFonts w:ascii="Calibri" w:hAnsi="Calibri" w:cs="Calibri"/>
                <w:color w:val="000000"/>
                <w:sz w:val="21"/>
              </w:rPr>
              <w:t>/</w:t>
            </w:r>
            <w:r>
              <w:rPr>
                <w:rFonts w:ascii="Times New Roman" w:hAnsi="Times New Roman" w:cs="Times New Roman"/>
                <w:color w:val="000000"/>
                <w:sz w:val="21"/>
              </w:rPr>
              <w:t>童车</w:t>
            </w:r>
            <w:r>
              <w:rPr>
                <w:rFonts w:ascii="Calibri" w:hAnsi="Calibri" w:cs="Calibri"/>
                <w:color w:val="000000"/>
                <w:sz w:val="21"/>
              </w:rPr>
              <w:t>/</w:t>
            </w:r>
            <w:r>
              <w:rPr>
                <w:rFonts w:ascii="Times New Roman" w:hAnsi="Times New Roman" w:cs="Times New Roman"/>
                <w:color w:val="000000"/>
                <w:sz w:val="21"/>
              </w:rPr>
              <w:t>益智</w:t>
            </w:r>
            <w:r>
              <w:rPr>
                <w:rFonts w:ascii="Calibri" w:hAnsi="Calibri" w:cs="Calibri"/>
                <w:color w:val="000000"/>
                <w:sz w:val="21"/>
              </w:rPr>
              <w:t>/</w:t>
            </w:r>
            <w:r>
              <w:rPr>
                <w:rFonts w:ascii="Songti SC" w:hAnsi="Songti SC" w:eastAsia="Songti SC"/>
                <w:color w:val="333333"/>
                <w:sz w:val="21"/>
              </w:rPr>
              <w:t>积木</w:t>
            </w:r>
            <w:r>
              <w:rPr>
                <w:rFonts w:ascii="Calibri" w:hAnsi="Calibri" w:cs="Calibri"/>
                <w:color w:val="333333"/>
                <w:sz w:val="21"/>
              </w:rPr>
              <w:t>/</w:t>
            </w:r>
            <w:r>
              <w:rPr>
                <w:rFonts w:ascii="Songti SC" w:hAnsi="Songti SC" w:eastAsia="Songti SC"/>
                <w:color w:val="333333"/>
                <w:sz w:val="21"/>
              </w:rPr>
              <w:t>模型</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婴童用品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婴童尿裤</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食品</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零食</w:t>
            </w:r>
            <w:r>
              <w:rPr>
                <w:rFonts w:ascii="Calibri" w:hAnsi="Calibri" w:cs="Calibri"/>
                <w:color w:val="000000"/>
                <w:sz w:val="21"/>
              </w:rPr>
              <w:t>/</w:t>
            </w:r>
            <w:r>
              <w:rPr>
                <w:rFonts w:ascii="Times New Roman" w:hAnsi="Times New Roman" w:cs="Times New Roman"/>
                <w:color w:val="000000"/>
                <w:sz w:val="21"/>
              </w:rPr>
              <w:t>坚果</w:t>
            </w:r>
            <w:r>
              <w:rPr>
                <w:rFonts w:ascii="Calibri" w:hAnsi="Calibri" w:cs="Calibri"/>
                <w:color w:val="000000"/>
                <w:sz w:val="21"/>
              </w:rPr>
              <w:t>/</w:t>
            </w:r>
            <w:r>
              <w:rPr>
                <w:rFonts w:ascii="Times New Roman" w:hAnsi="Times New Roman" w:cs="Times New Roman"/>
                <w:color w:val="000000"/>
                <w:sz w:val="21"/>
              </w:rPr>
              <w:t>特产</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酒类</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茶</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咖啡</w:t>
            </w:r>
            <w:r>
              <w:rPr>
                <w:rFonts w:ascii="Calibri" w:hAnsi="Calibri" w:cs="Calibri"/>
                <w:color w:val="000000"/>
                <w:sz w:val="21"/>
              </w:rPr>
              <w:t>/</w:t>
            </w:r>
            <w:r>
              <w:rPr>
                <w:rFonts w:ascii="Times New Roman" w:hAnsi="Times New Roman" w:cs="Times New Roman"/>
                <w:color w:val="000000"/>
                <w:sz w:val="21"/>
              </w:rPr>
              <w:t>麦片</w:t>
            </w:r>
            <w:r>
              <w:rPr>
                <w:rFonts w:ascii="Calibri" w:hAnsi="Calibri" w:cs="Calibri"/>
                <w:color w:val="000000"/>
                <w:sz w:val="21"/>
              </w:rPr>
              <w:t>/</w:t>
            </w:r>
            <w:r>
              <w:rPr>
                <w:rFonts w:ascii="Times New Roman" w:hAnsi="Times New Roman" w:cs="Times New Roman"/>
                <w:color w:val="000000"/>
                <w:sz w:val="21"/>
              </w:rPr>
              <w:t>冲饮</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粮油米面</w:t>
            </w:r>
            <w:r>
              <w:rPr>
                <w:rFonts w:ascii="Calibri" w:hAnsi="Calibri" w:cs="Calibri"/>
                <w:color w:val="000000"/>
                <w:sz w:val="21"/>
              </w:rPr>
              <w:t>/</w:t>
            </w:r>
            <w:r>
              <w:rPr>
                <w:rFonts w:ascii="Times New Roman" w:hAnsi="Times New Roman" w:cs="Times New Roman"/>
                <w:color w:val="000000"/>
                <w:sz w:val="21"/>
              </w:rPr>
              <w:t>南北干货</w:t>
            </w:r>
            <w:r>
              <w:rPr>
                <w:rFonts w:ascii="Calibri" w:hAnsi="Calibri" w:cs="Calibri"/>
                <w:color w:val="000000"/>
                <w:sz w:val="21"/>
              </w:rPr>
              <w:t>/</w:t>
            </w:r>
            <w:r>
              <w:rPr>
                <w:rFonts w:ascii="Times New Roman" w:hAnsi="Times New Roman" w:cs="Times New Roman"/>
                <w:color w:val="000000"/>
                <w:sz w:val="21"/>
              </w:rPr>
              <w:t>调味品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水产肉类</w:t>
            </w:r>
            <w:r>
              <w:rPr>
                <w:rFonts w:ascii="Calibri" w:hAnsi="Calibri" w:cs="Calibri"/>
                <w:color w:val="000000"/>
                <w:sz w:val="21"/>
              </w:rPr>
              <w:t>/</w:t>
            </w:r>
            <w:r>
              <w:rPr>
                <w:rFonts w:ascii="Times New Roman" w:hAnsi="Times New Roman" w:cs="Times New Roman"/>
                <w:color w:val="000000"/>
                <w:sz w:val="21"/>
              </w:rPr>
              <w:t>蛋类</w:t>
            </w:r>
            <w:r>
              <w:rPr>
                <w:rFonts w:ascii="Calibri" w:hAnsi="Calibri" w:cs="Calibri"/>
                <w:color w:val="000000"/>
                <w:sz w:val="21"/>
              </w:rPr>
              <w:t>/</w:t>
            </w:r>
            <w:r>
              <w:rPr>
                <w:rFonts w:ascii="Times New Roman" w:hAnsi="Times New Roman" w:cs="Times New Roman"/>
                <w:color w:val="000000"/>
                <w:sz w:val="21"/>
              </w:rPr>
              <w:t>新鲜果蔬</w:t>
            </w:r>
            <w:r>
              <w:rPr>
                <w:rFonts w:ascii="Calibri" w:hAnsi="Calibri" w:cs="Calibri"/>
                <w:color w:val="000000"/>
                <w:sz w:val="21"/>
              </w:rPr>
              <w:t>/</w:t>
            </w:r>
            <w:r>
              <w:rPr>
                <w:rFonts w:ascii="Times New Roman" w:hAnsi="Times New Roman" w:cs="Times New Roman"/>
                <w:color w:val="000000"/>
                <w:sz w:val="21"/>
              </w:rPr>
              <w:t>冰淇淋</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保健品及医药</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传统滋补营养品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保健食品</w:t>
            </w:r>
            <w:r>
              <w:rPr>
                <w:rFonts w:ascii="Calibri" w:hAnsi="Calibri" w:cs="Calibri"/>
                <w:color w:val="000000"/>
                <w:sz w:val="21"/>
              </w:rPr>
              <w:t>/</w:t>
            </w:r>
            <w:r>
              <w:rPr>
                <w:rFonts w:ascii="Times New Roman" w:hAnsi="Times New Roman" w:cs="Times New Roman"/>
                <w:color w:val="000000"/>
                <w:sz w:val="21"/>
              </w:rPr>
              <w:t>膳食营养补充食品</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3C数码</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网络设备</w:t>
            </w:r>
            <w:r>
              <w:rPr>
                <w:rFonts w:ascii="Calibri" w:hAnsi="Calibri" w:cs="Calibri"/>
                <w:color w:val="000000"/>
                <w:sz w:val="21"/>
              </w:rPr>
              <w:t>/</w:t>
            </w:r>
            <w:r>
              <w:rPr>
                <w:rFonts w:ascii="Times New Roman" w:hAnsi="Times New Roman" w:cs="Times New Roman"/>
                <w:color w:val="000000"/>
                <w:sz w:val="21"/>
              </w:rPr>
              <w:t>网络相关</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DIY电脑</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品牌台机</w:t>
            </w:r>
            <w:r>
              <w:rPr>
                <w:rFonts w:ascii="Calibri" w:hAnsi="Calibri" w:cs="Calibri"/>
                <w:color w:val="000000"/>
                <w:sz w:val="21"/>
              </w:rPr>
              <w:t>/</w:t>
            </w:r>
            <w:r>
              <w:rPr>
                <w:rFonts w:ascii="Times New Roman" w:hAnsi="Times New Roman" w:cs="Times New Roman"/>
                <w:color w:val="000000"/>
                <w:sz w:val="21"/>
              </w:rPr>
              <w:t>品牌一体机</w:t>
            </w:r>
            <w:r>
              <w:rPr>
                <w:rFonts w:ascii="Calibri" w:hAnsi="Calibri" w:cs="Calibri"/>
                <w:color w:val="000000"/>
                <w:sz w:val="21"/>
              </w:rPr>
              <w:t>/</w:t>
            </w:r>
            <w:r>
              <w:rPr>
                <w:rFonts w:ascii="Times New Roman" w:hAnsi="Times New Roman" w:cs="Times New Roman"/>
                <w:color w:val="000000"/>
                <w:sz w:val="21"/>
              </w:rPr>
              <w:t>服务器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数码相机</w:t>
            </w:r>
            <w:r>
              <w:rPr>
                <w:rFonts w:ascii="Calibri" w:hAnsi="Calibri" w:cs="Calibri"/>
                <w:color w:val="000000"/>
                <w:sz w:val="21"/>
              </w:rPr>
              <w:t>/</w:t>
            </w:r>
            <w:r>
              <w:rPr>
                <w:rFonts w:ascii="Times New Roman" w:hAnsi="Times New Roman" w:cs="Times New Roman"/>
                <w:color w:val="000000"/>
                <w:sz w:val="21"/>
              </w:rPr>
              <w:t>单反相机</w:t>
            </w:r>
            <w:r>
              <w:rPr>
                <w:rFonts w:ascii="Calibri" w:hAnsi="Calibri" w:cs="Calibri"/>
                <w:color w:val="000000"/>
                <w:sz w:val="21"/>
              </w:rPr>
              <w:t>/</w:t>
            </w:r>
            <w:r>
              <w:rPr>
                <w:rFonts w:ascii="Times New Roman" w:hAnsi="Times New Roman" w:cs="Times New Roman"/>
                <w:color w:val="000000"/>
                <w:sz w:val="21"/>
              </w:rPr>
              <w:t>摄像机</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MP3/MP4/iPod/录音笔</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电脑硬件</w:t>
            </w:r>
            <w:r>
              <w:rPr>
                <w:rFonts w:ascii="Calibri" w:hAnsi="Calibri" w:cs="Calibri"/>
                <w:color w:val="000000"/>
                <w:sz w:val="21"/>
              </w:rPr>
              <w:t>/</w:t>
            </w:r>
            <w:r>
              <w:rPr>
                <w:rFonts w:ascii="Times New Roman" w:hAnsi="Times New Roman" w:cs="Times New Roman"/>
                <w:color w:val="000000"/>
                <w:sz w:val="21"/>
              </w:rPr>
              <w:t>显示器</w:t>
            </w:r>
            <w:r>
              <w:rPr>
                <w:rFonts w:ascii="Calibri" w:hAnsi="Calibri" w:cs="Calibri"/>
                <w:color w:val="000000"/>
                <w:sz w:val="21"/>
              </w:rPr>
              <w:t>/</w:t>
            </w:r>
            <w:r>
              <w:rPr>
                <w:rFonts w:ascii="Times New Roman" w:hAnsi="Times New Roman" w:cs="Times New Roman"/>
                <w:color w:val="000000"/>
                <w:sz w:val="21"/>
              </w:rPr>
              <w:t>电脑周边</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笔记本电脑</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3C数码配件</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闪存卡</w:t>
            </w:r>
            <w:r>
              <w:rPr>
                <w:rFonts w:ascii="Calibri" w:hAnsi="Calibri" w:cs="Calibri"/>
                <w:color w:val="000000"/>
                <w:sz w:val="21"/>
              </w:rPr>
              <w:t>/U</w:t>
            </w:r>
            <w:r>
              <w:rPr>
                <w:rFonts w:ascii="Times New Roman" w:hAnsi="Times New Roman" w:cs="Times New Roman"/>
                <w:color w:val="000000"/>
                <w:sz w:val="21"/>
              </w:rPr>
              <w:t>盘</w:t>
            </w:r>
            <w:r>
              <w:rPr>
                <w:rFonts w:ascii="Calibri" w:hAnsi="Calibri" w:cs="Calibri"/>
                <w:color w:val="000000"/>
                <w:sz w:val="21"/>
              </w:rPr>
              <w:t>/</w:t>
            </w:r>
            <w:r>
              <w:rPr>
                <w:rFonts w:ascii="Times New Roman" w:hAnsi="Times New Roman" w:cs="Times New Roman"/>
                <w:color w:val="000000"/>
                <w:sz w:val="21"/>
              </w:rPr>
              <w:t>存储</w:t>
            </w:r>
            <w:r>
              <w:rPr>
                <w:rFonts w:ascii="Calibri" w:hAnsi="Calibri" w:cs="Calibri"/>
                <w:color w:val="000000"/>
                <w:sz w:val="21"/>
              </w:rPr>
              <w:t>/</w:t>
            </w:r>
            <w:r>
              <w:rPr>
                <w:rFonts w:ascii="Songti SC" w:hAnsi="Songti SC" w:eastAsia="Songti SC"/>
                <w:color w:val="333333"/>
                <w:sz w:val="21"/>
              </w:rPr>
              <w:t>移动硬盘</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平板电脑</w:t>
            </w:r>
            <w:r>
              <w:rPr>
                <w:rFonts w:ascii="Calibri" w:hAnsi="Calibri" w:cs="Calibri"/>
                <w:color w:val="000000"/>
                <w:sz w:val="21"/>
              </w:rPr>
              <w:t>/MID</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智能设备</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手机</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家用电器</w:t>
            </w: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影音电器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厨房电器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生活电器</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个人护理</w:t>
            </w:r>
            <w:r>
              <w:rPr>
                <w:rFonts w:ascii="Calibri" w:hAnsi="Calibri" w:cs="Calibri"/>
                <w:color w:val="000000"/>
                <w:sz w:val="21"/>
              </w:rPr>
              <w:t>/</w:t>
            </w:r>
            <w:r>
              <w:rPr>
                <w:rFonts w:ascii="Times New Roman" w:hAnsi="Times New Roman" w:cs="Times New Roman"/>
                <w:color w:val="000000"/>
                <w:sz w:val="21"/>
              </w:rPr>
              <w:t>保健</w:t>
            </w:r>
            <w:r>
              <w:rPr>
                <w:rFonts w:ascii="Calibri" w:hAnsi="Calibri" w:cs="Calibri"/>
                <w:color w:val="000000"/>
                <w:sz w:val="21"/>
              </w:rPr>
              <w:t>/</w:t>
            </w:r>
            <w:r>
              <w:rPr>
                <w:rFonts w:ascii="Times New Roman" w:hAnsi="Times New Roman" w:cs="Times New Roman"/>
                <w:color w:val="000000"/>
                <w:sz w:val="21"/>
              </w:rPr>
              <w:t>按摩器材</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c>
          <w:tcPr>
            <w:tcW w:w="1230" w:type="dxa"/>
            <w:vMerge w:val="continue"/>
            <w:tcBorders>
              <w:top w:val="nil"/>
              <w:left w:val="single" w:color="000000" w:sz="8" w:space="0"/>
              <w:bottom w:val="single" w:color="000000" w:sz="8" w:space="0"/>
              <w:right w:val="single" w:color="000000" w:sz="8" w:space="0"/>
            </w:tcBorders>
            <w:shd w:val="clear" w:color="auto" w:fill="auto"/>
          </w:tcPr>
          <w:p/>
        </w:tc>
        <w:tc>
          <w:tcPr>
            <w:tcW w:w="244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大家电</w:t>
            </w:r>
          </w:p>
        </w:tc>
        <w:tc>
          <w:tcPr>
            <w:tcW w:w="199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bl>
    <w:p>
      <w:pPr>
        <w:spacing w:line="360" w:lineRule="auto"/>
        <w:jc w:val="both"/>
        <w:rPr>
          <w:rFonts w:ascii="Songti SC" w:hAnsi="Songti SC" w:eastAsia="Songti SC"/>
          <w:color w:val="000000"/>
          <w:sz w:val="21"/>
        </w:rPr>
      </w:pPr>
    </w:p>
    <w:p>
      <w:pPr>
        <w:numPr>
          <w:ilvl w:val="0"/>
          <w:numId w:val="41"/>
        </w:numPr>
        <w:spacing w:line="360" w:lineRule="auto"/>
        <w:ind w:firstLineChars="200"/>
        <w:jc w:val="both"/>
        <w:rPr>
          <w:rFonts w:ascii="Songti SC" w:hAnsi="Songti SC" w:eastAsia="Songti SC"/>
          <w:color w:val="000000"/>
          <w:sz w:val="21"/>
        </w:rPr>
      </w:pPr>
      <w:r>
        <w:rPr>
          <w:rFonts w:ascii="Songti SC" w:hAnsi="Songti SC" w:eastAsia="Songti SC"/>
          <w:color w:val="000000"/>
          <w:sz w:val="21"/>
        </w:rPr>
        <w:t>入围后的采购方案</w:t>
      </w:r>
    </w:p>
    <w:p>
      <w:pPr>
        <w:spacing w:line="360" w:lineRule="auto"/>
        <w:ind w:firstLine="400" w:firstLineChars="200"/>
        <w:rPr>
          <w:rFonts w:ascii="宋体" w:hAnsi="宋体" w:cs="宋体"/>
          <w:szCs w:val="21"/>
        </w:rPr>
      </w:pPr>
      <w:r>
        <w:rPr>
          <w:rFonts w:ascii="宋体" w:hAnsi="宋体" w:cs="宋体"/>
          <w:szCs w:val="21"/>
        </w:rPr>
        <w:t>在协议期内，兑吧至少每月组织一次商品更替，通过询价方式以“最低价法"确定成交供应商。入围供应商针对兑吧新一期的选品清单提供礼品授权代理文件并进行报价，每种礼品单价报价最低者为实际供货商。如果多个入围供应商针对同一礼品单价报价一致，则选择上月供应商监督考核评价得分最高者作为实际供货商。</w:t>
      </w:r>
    </w:p>
    <w:p>
      <w:pPr>
        <w:numPr>
          <w:ilvl w:val="0"/>
          <w:numId w:val="42"/>
        </w:numPr>
        <w:spacing w:line="360" w:lineRule="auto"/>
        <w:ind w:firstLineChars="200"/>
        <w:rPr>
          <w:rFonts w:ascii="宋体" w:hAnsi="宋体" w:cs="宋体"/>
          <w:szCs w:val="21"/>
        </w:rPr>
      </w:pPr>
      <w:r>
        <w:rPr>
          <w:rFonts w:ascii="宋体" w:hAnsi="宋体" w:cs="宋体"/>
          <w:szCs w:val="21"/>
        </w:rPr>
        <w:t>淘汰机制：对兑换量或兑换金额排名靠后、有效投诉数量较多、商品质量问题等商品作淘汰处理，予以下架；</w:t>
      </w:r>
    </w:p>
    <w:p>
      <w:pPr>
        <w:numPr>
          <w:ilvl w:val="0"/>
          <w:numId w:val="42"/>
        </w:numPr>
        <w:spacing w:line="360" w:lineRule="auto"/>
        <w:ind w:firstLineChars="200"/>
        <w:rPr>
          <w:rFonts w:ascii="宋体" w:hAnsi="宋体" w:cs="宋体"/>
          <w:szCs w:val="21"/>
        </w:rPr>
      </w:pPr>
      <w:r>
        <w:rPr>
          <w:rFonts w:ascii="宋体" w:hAnsi="宋体" w:cs="宋体"/>
          <w:szCs w:val="21"/>
        </w:rPr>
        <w:t>更替机制：对市场价有明显下降的在架商品（如数码3C）和需补充上架的市场热门商品，拟定更替清单，以询价方式邀请入围供应商报价。重新议价的商品报价须低于原成交价格。</w:t>
      </w:r>
    </w:p>
    <w:p>
      <w:pPr>
        <w:rPr>
          <w:rFonts w:ascii="宋体" w:hAnsi="宋体" w:cs="宋体"/>
          <w:sz w:val="21"/>
        </w:rPr>
      </w:pP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二、服务要求</w:t>
      </w:r>
    </w:p>
    <w:p>
      <w:pPr>
        <w:numPr>
          <w:ilvl w:val="0"/>
          <w:numId w:val="43"/>
        </w:numPr>
        <w:spacing w:line="360" w:lineRule="auto"/>
        <w:ind w:firstLine="400" w:firstLineChars="200"/>
        <w:rPr>
          <w:rFonts w:ascii="宋体" w:hAnsi="宋体" w:cs="宋体"/>
          <w:szCs w:val="21"/>
        </w:rPr>
      </w:pPr>
      <w:r>
        <w:rPr>
          <w:rFonts w:ascii="宋体" w:hAnsi="宋体" w:cs="宋体"/>
          <w:szCs w:val="21"/>
        </w:rPr>
        <w:t>行业规范要求、服务标准、服务遵循的质量体系标准。供应商必须具备</w:t>
      </w:r>
      <w:r>
        <w:rPr>
          <w:rFonts w:hint="eastAsia" w:ascii="宋体" w:hAnsi="宋体" w:cs="宋体"/>
          <w:szCs w:val="21"/>
          <w:lang w:eastAsia="zh-Hans"/>
        </w:rPr>
        <w:t>兑吧</w:t>
      </w:r>
      <w:r>
        <w:rPr>
          <w:rFonts w:ascii="宋体" w:hAnsi="宋体" w:cs="宋体"/>
          <w:szCs w:val="21"/>
        </w:rPr>
        <w:t>认可的、完善的售后服务体系，按照国家“三包”政策提供售后服务。</w:t>
      </w:r>
    </w:p>
    <w:p>
      <w:pPr>
        <w:numPr>
          <w:ilvl w:val="0"/>
          <w:numId w:val="43"/>
        </w:numPr>
        <w:spacing w:line="360" w:lineRule="auto"/>
        <w:ind w:firstLine="400" w:firstLineChars="200"/>
        <w:rPr>
          <w:rFonts w:ascii="宋体" w:hAnsi="宋体" w:cs="宋体"/>
          <w:szCs w:val="21"/>
        </w:rPr>
      </w:pPr>
      <w:r>
        <w:rPr>
          <w:rFonts w:ascii="宋体" w:hAnsi="宋体" w:cs="宋体"/>
          <w:szCs w:val="21"/>
        </w:rPr>
        <w:t>具体服务要求详述，服务应达到的状态涉及需要第三方服务的要求。</w:t>
      </w:r>
    </w:p>
    <w:p>
      <w:pPr>
        <w:numPr>
          <w:ilvl w:val="0"/>
          <w:numId w:val="44"/>
        </w:numPr>
        <w:ind w:firstLine="420" w:firstLineChars="200"/>
        <w:rPr>
          <w:rFonts w:ascii="宋体" w:hAnsi="宋体" w:cs="宋体"/>
          <w:sz w:val="21"/>
        </w:rPr>
      </w:pPr>
      <w:r>
        <w:rPr>
          <w:rFonts w:ascii="宋体" w:hAnsi="宋体" w:cs="宋体"/>
          <w:sz w:val="21"/>
        </w:rPr>
        <w:t>商品运营管理</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上架。根据采购组织结果，供应商应在2个工作日内提供兑吧所规定的商品尺寸、详情图、TXT商品说明等材料。供应商应对材料准确性及完整性严格把关，经过兑吧审核错误超过3次（含）将予以延迟上架。</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下架。对兑换量或兑换金额排名靠后、有效投诉数量较多、商品质量问题等商品，兑吧提前一星期通知供应商下架；对商品停产等特殊情况，供应商应至少提前一个星期向兑吧提出下架的申请。</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配送。供应商应通过指定的用户名和密码登陆兑吧供应商管理系统，对订单配送信息与客户确认后予以投递，同时回传物流单号至后台，供应商应持续跟踪物流进程，落实收货等。</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客诉处理。供应商应每日关注合作群中的问题单，由专属客服妥善处理客户投诉，并于24</w:t>
      </w:r>
      <w:r>
        <w:rPr>
          <w:rFonts w:hint="eastAsia" w:ascii="宋体" w:hAnsi="宋体" w:cs="宋体"/>
          <w:lang w:val="en-US" w:eastAsia="zh-Hans"/>
        </w:rPr>
        <w:t>小时</w:t>
      </w:r>
      <w:r>
        <w:rPr>
          <w:rFonts w:ascii="宋体" w:hAnsi="宋体" w:cs="宋体"/>
        </w:rPr>
        <w:t>内将处理情况反馈至兑吧。供应商应以“客户至上”为原则协助客户、安抚客户、解答客户咨询并处理客户问题。</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商品库存管理。供应商应保证在架商品库存充足以满足兑吧客户兑换需求，如遇客户兑换量急剧上升或商品生产性能下降等特殊情况，应及时报备兑吧，在不影响客户体验的前提下，可予以临时下架，且临时下架时间不得超过1个月。</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费用结算。兑吧按月支付结算款项。供应商与兑吧共同对账，供应商应按照对账的结算金额开具完整、合法的增值税专用发票并寄至兑吧。兑吧对每笔订单的商品及配送等服务仅支付一次费用，无论任何原因造成的重复配送，兑吧都不再支付额外费用。</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当月应付款项为客户确认收货的订单金额总额，实际结算款项根据供应商服务实际情况确定。</w:t>
      </w:r>
    </w:p>
    <w:p>
      <w:pPr>
        <w:widowControl w:val="0"/>
        <w:numPr>
          <w:ilvl w:val="0"/>
          <w:numId w:val="45"/>
        </w:numPr>
        <w:adjustRightInd w:val="0"/>
        <w:spacing w:line="360" w:lineRule="auto"/>
        <w:jc w:val="both"/>
        <w:textAlignment w:val="baseline"/>
        <w:rPr>
          <w:rFonts w:ascii="宋体" w:hAnsi="宋体" w:cs="宋体"/>
        </w:rPr>
      </w:pPr>
      <w:r>
        <w:rPr>
          <w:rFonts w:ascii="宋体" w:hAnsi="宋体" w:cs="宋体"/>
        </w:rPr>
        <w:t>活动策划。供应商应至少每1个月提交一份营销方案，结合兑吧在架积分商品及市场动态，提供商品让利、活动策划提案。</w:t>
      </w:r>
    </w:p>
    <w:p>
      <w:pPr>
        <w:pStyle w:val="2"/>
      </w:pPr>
    </w:p>
    <w:p>
      <w:pPr>
        <w:widowControl w:val="0"/>
        <w:adjustRightInd w:val="0"/>
        <w:spacing w:line="360" w:lineRule="auto"/>
        <w:jc w:val="both"/>
        <w:textAlignment w:val="baseline"/>
        <w:rPr>
          <w:rFonts w:ascii="宋体" w:hAnsi="宋体" w:cs="宋体"/>
        </w:rPr>
      </w:pPr>
      <w:r>
        <w:rPr>
          <w:rFonts w:ascii="宋体" w:hAnsi="宋体" w:cs="宋体"/>
        </w:rPr>
        <w:t>2.供应商考核与检查</w:t>
      </w:r>
    </w:p>
    <w:p>
      <w:pPr>
        <w:widowControl w:val="0"/>
        <w:adjustRightInd w:val="0"/>
        <w:spacing w:line="360" w:lineRule="auto"/>
        <w:jc w:val="both"/>
        <w:textAlignment w:val="baseline"/>
        <w:rPr>
          <w:rFonts w:ascii="宋体" w:hAnsi="宋体" w:cs="宋体"/>
        </w:rPr>
      </w:pPr>
      <w:r>
        <w:rPr>
          <w:rFonts w:ascii="宋体" w:hAnsi="宋体" w:cs="宋体"/>
        </w:rPr>
        <w:t>具体根据兑吧商家管理规则规定。</w:t>
      </w:r>
    </w:p>
    <w:p>
      <w:pPr>
        <w:pStyle w:val="2"/>
      </w:pPr>
    </w:p>
    <w:p>
      <w:pPr>
        <w:numPr>
          <w:ilvl w:val="0"/>
          <w:numId w:val="43"/>
        </w:numPr>
        <w:spacing w:line="360" w:lineRule="auto"/>
        <w:ind w:firstLine="400" w:firstLineChars="200"/>
        <w:rPr>
          <w:rFonts w:ascii="宋体" w:hAnsi="宋体" w:cs="宋体"/>
          <w:szCs w:val="21"/>
        </w:rPr>
      </w:pPr>
      <w:r>
        <w:rPr>
          <w:rFonts w:ascii="宋体" w:hAnsi="宋体" w:cs="宋体"/>
          <w:szCs w:val="21"/>
        </w:rPr>
        <w:t>技术能力要求。</w:t>
      </w:r>
    </w:p>
    <w:p>
      <w:pPr>
        <w:widowControl w:val="0"/>
        <w:numPr>
          <w:ilvl w:val="0"/>
          <w:numId w:val="46"/>
        </w:numPr>
        <w:adjustRightInd w:val="0"/>
        <w:spacing w:line="360" w:lineRule="auto"/>
        <w:ind w:firstLineChars="200"/>
        <w:jc w:val="both"/>
        <w:textAlignment w:val="baseline"/>
        <w:rPr>
          <w:rFonts w:ascii="宋体" w:hAnsi="宋体" w:cs="宋体"/>
        </w:rPr>
      </w:pPr>
      <w:r>
        <w:rPr>
          <w:rFonts w:ascii="宋体" w:hAnsi="宋体" w:cs="宋体"/>
        </w:rPr>
        <w:t>具备技术开发能力，可按兑吧要求的代码规范编写程序、对接相关系统，包括但不限于订单系统、仓配系统等。</w:t>
      </w:r>
    </w:p>
    <w:p>
      <w:pPr>
        <w:widowControl w:val="0"/>
        <w:numPr>
          <w:ilvl w:val="0"/>
          <w:numId w:val="46"/>
        </w:numPr>
        <w:adjustRightInd w:val="0"/>
        <w:spacing w:line="360" w:lineRule="auto"/>
        <w:ind w:firstLineChars="200"/>
        <w:jc w:val="both"/>
        <w:textAlignment w:val="baseline"/>
        <w:rPr>
          <w:rFonts w:ascii="宋体" w:hAnsi="宋体" w:cs="宋体"/>
        </w:rPr>
      </w:pPr>
      <w:r>
        <w:rPr>
          <w:rFonts w:ascii="宋体" w:hAnsi="宋体" w:cs="宋体"/>
        </w:rPr>
        <w:t>具备数据分析能力，可应对市场变化、客户喜好，向兑吧提出主题活动方案、商品分析报告、潮品爆品推荐等。</w:t>
      </w:r>
    </w:p>
    <w:p>
      <w:pPr>
        <w:numPr>
          <w:ilvl w:val="0"/>
          <w:numId w:val="43"/>
        </w:numPr>
        <w:spacing w:line="360" w:lineRule="auto"/>
        <w:ind w:firstLine="400" w:firstLineChars="200"/>
        <w:rPr>
          <w:rFonts w:ascii="宋体" w:hAnsi="宋体" w:cs="宋体"/>
          <w:szCs w:val="21"/>
        </w:rPr>
      </w:pPr>
      <w:r>
        <w:rPr>
          <w:rFonts w:ascii="宋体" w:hAnsi="宋体" w:cs="宋体"/>
          <w:szCs w:val="21"/>
        </w:rPr>
        <w:t>交付能力要求。</w:t>
      </w:r>
    </w:p>
    <w:p>
      <w:pPr>
        <w:widowControl w:val="0"/>
        <w:numPr>
          <w:ilvl w:val="0"/>
          <w:numId w:val="47"/>
        </w:numPr>
        <w:adjustRightInd w:val="0"/>
        <w:spacing w:line="360" w:lineRule="auto"/>
        <w:ind w:firstLineChars="200"/>
        <w:jc w:val="both"/>
        <w:textAlignment w:val="baseline"/>
        <w:rPr>
          <w:rFonts w:ascii="宋体" w:hAnsi="宋体" w:cs="宋体"/>
        </w:rPr>
      </w:pPr>
      <w:r>
        <w:rPr>
          <w:rFonts w:ascii="宋体" w:hAnsi="宋体" w:cs="宋体"/>
        </w:rPr>
        <w:t>针对实物商品，供应商必须在客户下单的第二天内完成发货，并在兑吧供应商管理系统上传完整、准确的物流信息。</w:t>
      </w:r>
    </w:p>
    <w:p>
      <w:pPr>
        <w:widowControl w:val="0"/>
        <w:numPr>
          <w:ilvl w:val="0"/>
          <w:numId w:val="47"/>
        </w:numPr>
        <w:adjustRightInd w:val="0"/>
        <w:spacing w:line="360" w:lineRule="auto"/>
        <w:ind w:firstLineChars="200"/>
        <w:jc w:val="both"/>
        <w:textAlignment w:val="baseline"/>
        <w:rPr>
          <w:rFonts w:ascii="宋体" w:hAnsi="宋体" w:cs="宋体"/>
        </w:rPr>
      </w:pPr>
      <w:r>
        <w:rPr>
          <w:rFonts w:ascii="宋体" w:hAnsi="宋体" w:cs="宋体"/>
        </w:rPr>
        <w:t>供应商承诺提供的所有商品渠道来源合法合规，有正规授权（授权内容包括但不限于销售、宣传、商标使用等）的代理资格，确保商品授权真实有效。</w:t>
      </w:r>
    </w:p>
    <w:p>
      <w:pPr>
        <w:numPr>
          <w:ilvl w:val="0"/>
          <w:numId w:val="43"/>
        </w:numPr>
        <w:spacing w:line="360" w:lineRule="auto"/>
        <w:ind w:firstLine="400" w:firstLineChars="200"/>
        <w:rPr>
          <w:rFonts w:ascii="宋体" w:hAnsi="宋体" w:cs="宋体"/>
          <w:szCs w:val="21"/>
        </w:rPr>
      </w:pPr>
      <w:r>
        <w:rPr>
          <w:rFonts w:ascii="宋体" w:hAnsi="宋体" w:cs="宋体"/>
          <w:szCs w:val="21"/>
        </w:rPr>
        <w:t>项目团队人员配置及服务能力要求。</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供应商须为兑吧设置专门的项目团队，负责对接兑吧商品采购相关业务的活动响应、技术开发、日常运营、财务结算等工作。项目主管应具备两年（含）以上商品业务运营经验。</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具备客户服务呼叫中心，客户服务热线应设置800、400 或其他被叫付费电话。</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供应商客服面向兑吧的服务时间应为7 X 24小时（含法定节假日）；供应商客服面向兑吧客户的服务时间应为7 X 8小时；客户投诉需在1个工作日内响应并妥善处理。</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非法定节假日期间，供应商为兑吧客户提供服务的客服人员数量必须为3人（含）以上，且专职处理</w:t>
      </w:r>
      <w:r>
        <w:rPr>
          <w:rFonts w:hint="eastAsia" w:ascii="宋体" w:hAnsi="宋体" w:cs="宋体"/>
          <w:lang w:eastAsia="zh-Hans"/>
        </w:rPr>
        <w:t>兑吧</w:t>
      </w:r>
      <w:r>
        <w:rPr>
          <w:rFonts w:ascii="宋体" w:hAnsi="宋体" w:cs="宋体"/>
        </w:rPr>
        <w:t>客户的各类业务咨询、投诉的客服人员数量必须为1人（含）以上。</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供应商承诺客服热线接通率在90%（含）以上。</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供应商承诺客服人员一次化解问题能力达90%（含）；二次解决问题能力达95%（含）。</w:t>
      </w:r>
    </w:p>
    <w:p>
      <w:pPr>
        <w:widowControl w:val="0"/>
        <w:numPr>
          <w:ilvl w:val="0"/>
          <w:numId w:val="48"/>
        </w:numPr>
        <w:adjustRightInd w:val="0"/>
        <w:spacing w:line="360" w:lineRule="auto"/>
        <w:ind w:firstLineChars="200"/>
        <w:jc w:val="both"/>
        <w:textAlignment w:val="baseline"/>
        <w:rPr>
          <w:rFonts w:ascii="宋体" w:hAnsi="宋体" w:cs="宋体"/>
        </w:rPr>
      </w:pPr>
      <w:r>
        <w:rPr>
          <w:rFonts w:ascii="宋体" w:hAnsi="宋体" w:cs="宋体"/>
        </w:rPr>
        <w:t>供应商承诺每月有效投诉率不高于2%。</w:t>
      </w:r>
    </w:p>
    <w:p>
      <w:pPr>
        <w:numPr>
          <w:ilvl w:val="0"/>
          <w:numId w:val="43"/>
        </w:numPr>
        <w:spacing w:line="360" w:lineRule="auto"/>
        <w:ind w:firstLine="400" w:firstLineChars="200"/>
        <w:rPr>
          <w:rFonts w:ascii="宋体" w:hAnsi="宋体" w:cs="宋体"/>
          <w:szCs w:val="21"/>
        </w:rPr>
      </w:pPr>
      <w:r>
        <w:rPr>
          <w:rFonts w:ascii="宋体" w:hAnsi="宋体" w:cs="宋体"/>
          <w:szCs w:val="21"/>
        </w:rPr>
        <w:t>风险管理能力、合规情况、保密承诺等。</w:t>
      </w:r>
    </w:p>
    <w:p>
      <w:pPr>
        <w:spacing w:line="360" w:lineRule="auto"/>
        <w:ind w:firstLine="400" w:firstLineChars="200"/>
        <w:rPr>
          <w:rFonts w:ascii="宋体" w:hAnsi="宋体" w:cs="宋体"/>
          <w:szCs w:val="21"/>
        </w:rPr>
      </w:pPr>
      <w:r>
        <w:rPr>
          <w:rFonts w:ascii="宋体" w:hAnsi="宋体" w:cs="宋体"/>
          <w:szCs w:val="21"/>
        </w:rPr>
        <w:t>供应商必须建立严格的人员和设备管理制度，负责承担由其内部工作人员的道德风险和操作风险带来的相关损失。</w:t>
      </w:r>
    </w:p>
    <w:p>
      <w:pPr>
        <w:widowControl w:val="0"/>
        <w:numPr>
          <w:ilvl w:val="0"/>
          <w:numId w:val="49"/>
        </w:numPr>
        <w:adjustRightInd w:val="0"/>
        <w:spacing w:line="360" w:lineRule="auto"/>
        <w:ind w:firstLineChars="200"/>
        <w:jc w:val="both"/>
        <w:textAlignment w:val="baseline"/>
        <w:rPr>
          <w:rFonts w:ascii="宋体" w:hAnsi="宋体" w:cs="宋体"/>
        </w:rPr>
      </w:pPr>
      <w:r>
        <w:rPr>
          <w:rFonts w:ascii="宋体" w:hAnsi="宋体" w:cs="宋体"/>
        </w:rPr>
        <w:t>供应商应具备系统的人员招聘及管理机制，严格按照法律规定对员工进行招聘和管理。</w:t>
      </w:r>
    </w:p>
    <w:p>
      <w:pPr>
        <w:widowControl w:val="0"/>
        <w:numPr>
          <w:ilvl w:val="0"/>
          <w:numId w:val="49"/>
        </w:numPr>
        <w:adjustRightInd w:val="0"/>
        <w:spacing w:line="360" w:lineRule="auto"/>
        <w:ind w:firstLineChars="200"/>
        <w:jc w:val="both"/>
        <w:textAlignment w:val="baseline"/>
        <w:rPr>
          <w:rFonts w:ascii="宋体" w:hAnsi="宋体" w:cs="宋体"/>
        </w:rPr>
      </w:pPr>
      <w:r>
        <w:rPr>
          <w:rFonts w:ascii="宋体" w:hAnsi="宋体" w:cs="宋体"/>
        </w:rPr>
        <w:t>供应商应与所有正式、非正式员工签订保密协议。</w:t>
      </w:r>
    </w:p>
    <w:p>
      <w:pPr>
        <w:widowControl w:val="0"/>
        <w:numPr>
          <w:ilvl w:val="0"/>
          <w:numId w:val="49"/>
        </w:numPr>
        <w:adjustRightInd w:val="0"/>
        <w:spacing w:line="360" w:lineRule="auto"/>
        <w:ind w:firstLineChars="200"/>
        <w:jc w:val="both"/>
        <w:textAlignment w:val="baseline"/>
        <w:rPr>
          <w:rFonts w:ascii="宋体" w:hAnsi="宋体" w:cs="宋体"/>
        </w:rPr>
      </w:pPr>
      <w:r>
        <w:rPr>
          <w:rFonts w:ascii="宋体" w:hAnsi="宋体" w:cs="宋体"/>
        </w:rPr>
        <w:t>供应商应向相关人员进行专业培训。培训需有全面的客户服务培训计划和记录，经专业培训及测试通过的人员方可上岗作业。</w:t>
      </w:r>
    </w:p>
    <w:p>
      <w:pPr>
        <w:widowControl w:val="0"/>
        <w:numPr>
          <w:ilvl w:val="0"/>
          <w:numId w:val="49"/>
        </w:numPr>
        <w:adjustRightInd w:val="0"/>
        <w:spacing w:line="360" w:lineRule="auto"/>
        <w:ind w:firstLineChars="200"/>
        <w:jc w:val="both"/>
        <w:textAlignment w:val="baseline"/>
        <w:rPr>
          <w:rFonts w:ascii="宋体" w:hAnsi="宋体" w:cs="宋体"/>
        </w:rPr>
      </w:pPr>
      <w:r>
        <w:rPr>
          <w:rFonts w:ascii="宋体" w:hAnsi="宋体" w:cs="宋体"/>
        </w:rPr>
        <w:t>供应商应建立严格的保密机制，防止信息泄露。在中标后与兑吧签订保密协议，以确保兑吧及个人客户信息数据的安全性。</w:t>
      </w:r>
    </w:p>
    <w:p>
      <w:pPr>
        <w:widowControl w:val="0"/>
        <w:numPr>
          <w:ilvl w:val="0"/>
          <w:numId w:val="49"/>
        </w:numPr>
        <w:adjustRightInd w:val="0"/>
        <w:spacing w:line="360" w:lineRule="auto"/>
        <w:ind w:firstLineChars="200"/>
        <w:jc w:val="both"/>
        <w:textAlignment w:val="baseline"/>
        <w:rPr>
          <w:rFonts w:ascii="宋体" w:hAnsi="宋体" w:cs="宋体"/>
        </w:rPr>
      </w:pPr>
      <w:r>
        <w:rPr>
          <w:rFonts w:ascii="宋体" w:hAnsi="宋体" w:cs="宋体"/>
        </w:rPr>
        <w:t xml:space="preserve">供应商应建立严格的计算机及生产设备安全管理机制。 </w:t>
      </w:r>
    </w:p>
    <w:p>
      <w:pPr>
        <w:pStyle w:val="4"/>
        <w:widowControl w:val="0"/>
        <w:tabs>
          <w:tab w:val="left" w:pos="142"/>
          <w:tab w:val="left" w:pos="567"/>
        </w:tabs>
        <w:adjustRightInd/>
        <w:spacing w:before="0"/>
        <w:ind w:left="420" w:firstLine="6"/>
        <w:jc w:val="both"/>
        <w:textAlignment w:val="auto"/>
        <w:rPr>
          <w:rFonts w:ascii="Times New Roman" w:hAnsi="Times New Roman" w:eastAsia="宋体"/>
          <w:sz w:val="21"/>
          <w:szCs w:val="21"/>
        </w:rPr>
      </w:pPr>
      <w:r>
        <w:rPr>
          <w:rFonts w:ascii="Times New Roman" w:hAnsi="Times New Roman" w:eastAsia="宋体"/>
          <w:sz w:val="21"/>
          <w:szCs w:val="21"/>
        </w:rPr>
        <w:t>三、结算及其他要求</w:t>
      </w:r>
    </w:p>
    <w:p>
      <w:pPr>
        <w:numPr>
          <w:ilvl w:val="0"/>
          <w:numId w:val="50"/>
        </w:numPr>
        <w:spacing w:line="360" w:lineRule="auto"/>
        <w:ind w:firstLine="400" w:firstLineChars="200"/>
        <w:rPr>
          <w:rFonts w:ascii="宋体" w:hAnsi="宋体" w:cs="宋体"/>
          <w:szCs w:val="21"/>
        </w:rPr>
      </w:pPr>
      <w:r>
        <w:rPr>
          <w:rFonts w:ascii="宋体" w:hAnsi="宋体" w:cs="宋体"/>
          <w:szCs w:val="21"/>
        </w:rPr>
        <w:t>付款方式。</w:t>
      </w:r>
    </w:p>
    <w:p>
      <w:pPr>
        <w:widowControl w:val="0"/>
        <w:numPr>
          <w:ilvl w:val="0"/>
          <w:numId w:val="51"/>
        </w:numPr>
        <w:adjustRightInd w:val="0"/>
        <w:spacing w:line="360" w:lineRule="auto"/>
        <w:ind w:firstLineChars="200"/>
        <w:jc w:val="both"/>
        <w:textAlignment w:val="baseline"/>
        <w:rPr>
          <w:rFonts w:ascii="宋体" w:hAnsi="宋体" w:cs="宋体"/>
        </w:rPr>
      </w:pPr>
      <w:r>
        <w:rPr>
          <w:rFonts w:ascii="宋体" w:hAnsi="宋体" w:cs="宋体"/>
        </w:rPr>
        <w:t>结算模式。月结模式，无预付款，结算金额以双方核对为准。</w:t>
      </w:r>
    </w:p>
    <w:p>
      <w:pPr>
        <w:widowControl w:val="0"/>
        <w:numPr>
          <w:ilvl w:val="0"/>
          <w:numId w:val="51"/>
        </w:numPr>
        <w:adjustRightInd w:val="0"/>
        <w:spacing w:line="360" w:lineRule="auto"/>
        <w:ind w:firstLineChars="200"/>
        <w:jc w:val="both"/>
        <w:textAlignment w:val="baseline"/>
        <w:rPr>
          <w:rFonts w:ascii="宋体" w:hAnsi="宋体" w:cs="宋体"/>
        </w:rPr>
      </w:pPr>
      <w:r>
        <w:rPr>
          <w:rFonts w:ascii="宋体" w:hAnsi="宋体" w:cs="宋体"/>
        </w:rPr>
        <w:t>发票要求。向兑吧开具符合国家及税务规定的合法的、有效的、完整的增值税专用发票。</w:t>
      </w:r>
    </w:p>
    <w:p>
      <w:pPr>
        <w:numPr>
          <w:ilvl w:val="0"/>
          <w:numId w:val="50"/>
        </w:numPr>
        <w:spacing w:line="360" w:lineRule="auto"/>
        <w:ind w:firstLine="400" w:firstLineChars="200"/>
        <w:rPr>
          <w:rFonts w:ascii="宋体" w:hAnsi="宋体" w:cs="宋体"/>
          <w:szCs w:val="21"/>
        </w:rPr>
      </w:pPr>
      <w:r>
        <w:rPr>
          <w:rFonts w:ascii="宋体" w:hAnsi="宋体" w:cs="宋体"/>
          <w:szCs w:val="21"/>
        </w:rPr>
        <w:t>协议期内服务要求。</w:t>
      </w:r>
    </w:p>
    <w:p>
      <w:pPr>
        <w:widowControl w:val="0"/>
        <w:numPr>
          <w:ilvl w:val="0"/>
          <w:numId w:val="52"/>
        </w:numPr>
        <w:adjustRightInd w:val="0"/>
        <w:spacing w:line="360" w:lineRule="auto"/>
        <w:ind w:firstLineChars="200"/>
        <w:jc w:val="both"/>
        <w:textAlignment w:val="baseline"/>
        <w:rPr>
          <w:rFonts w:ascii="宋体" w:hAnsi="宋体" w:cs="宋体"/>
        </w:rPr>
      </w:pPr>
      <w:r>
        <w:rPr>
          <w:rFonts w:ascii="宋体" w:hAnsi="宋体" w:cs="宋体"/>
        </w:rPr>
        <w:t>供应商应保证服务的质量及服务连续性。如供应商出现不符合兑吧要求、无正当理由拒绝完成兑吧交付的服务工作，兑吧有权要求供应商整改或釆取其他补救措施，由此给兑吧造成损失的，供应商负责承担所有赔偿责任。</w:t>
      </w:r>
    </w:p>
    <w:p>
      <w:pPr>
        <w:widowControl w:val="0"/>
        <w:numPr>
          <w:ilvl w:val="0"/>
          <w:numId w:val="52"/>
        </w:numPr>
        <w:adjustRightInd w:val="0"/>
        <w:spacing w:line="360" w:lineRule="auto"/>
        <w:ind w:firstLineChars="200"/>
        <w:jc w:val="both"/>
        <w:textAlignment w:val="baseline"/>
        <w:rPr>
          <w:rFonts w:ascii="宋体" w:hAnsi="宋体" w:cs="宋体"/>
        </w:rPr>
      </w:pPr>
      <w:r>
        <w:rPr>
          <w:rFonts w:ascii="宋体" w:hAnsi="宋体" w:cs="宋体"/>
        </w:rPr>
        <w:t>供应商应严格遵守执业规则和职业道德，在兑吧要求的时间内，保质保量并独立完成服务工作。未经兑吧书面许可，不得以任何形式将工作或任务转委托其他机构。</w:t>
      </w:r>
    </w:p>
    <w:p>
      <w:pPr>
        <w:autoSpaceDE w:val="0"/>
        <w:spacing w:line="360" w:lineRule="auto"/>
        <w:ind w:firstLine="420"/>
        <w:jc w:val="both"/>
        <w:rPr>
          <w:sz w:val="21"/>
        </w:rPr>
      </w:pPr>
    </w:p>
    <w:p>
      <w:pPr>
        <w:autoSpaceDE w:val="0"/>
        <w:spacing w:line="360" w:lineRule="auto"/>
        <w:jc w:val="both"/>
        <w:rPr>
          <w:sz w:val="21"/>
        </w:rPr>
      </w:pPr>
    </w:p>
    <w:p>
      <w:pPr>
        <w:spacing w:line="360" w:lineRule="auto"/>
        <w:jc w:val="both"/>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4"/>
        <w:widowControl w:val="0"/>
        <w:numPr>
          <w:ilvl w:val="1"/>
          <w:numId w:val="53"/>
        </w:numPr>
        <w:adjustRightInd/>
        <w:spacing w:before="260" w:after="260" w:line="412" w:lineRule="auto"/>
        <w:ind w:left="575"/>
        <w:jc w:val="both"/>
        <w:textAlignment w:val="auto"/>
        <w:rPr>
          <w:lang w:eastAsia="zh-Hans"/>
        </w:rPr>
      </w:pPr>
      <w:r>
        <w:rPr>
          <w:rFonts w:hint="eastAsia"/>
          <w:szCs w:val="22"/>
          <w:lang w:eastAsia="zh-Hans"/>
        </w:rPr>
        <w:t>附件一：类目清单</w:t>
      </w:r>
    </w:p>
    <w:tbl>
      <w:tblPr>
        <w:tblStyle w:val="15"/>
        <w:tblW w:w="6142" w:type="dxa"/>
        <w:jc w:val="center"/>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1785"/>
        <w:gridCol w:w="3043"/>
        <w:gridCol w:w="1314"/>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sz w:val="21"/>
              </w:rPr>
              <w:t>一级类目</w:t>
            </w:r>
          </w:p>
        </w:tc>
        <w:tc>
          <w:tcPr>
            <w:tcW w:w="3043"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sz w:val="21"/>
              </w:rPr>
              <w:t>二级类目</w:t>
            </w:r>
          </w:p>
        </w:tc>
        <w:tc>
          <w:tcPr>
            <w:tcW w:w="131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b/>
                <w:color w:val="000000"/>
              </w:rPr>
              <w:t>对比市场参考价的折扣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箱包配饰</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箱包皮具</w:t>
            </w:r>
            <w:r>
              <w:rPr>
                <w:rFonts w:ascii="Calibri" w:hAnsi="Calibri" w:cs="Calibri"/>
                <w:color w:val="000000"/>
                <w:sz w:val="21"/>
              </w:rPr>
              <w:t>/</w:t>
            </w:r>
            <w:r>
              <w:rPr>
                <w:rFonts w:ascii="Times New Roman" w:hAnsi="Times New Roman" w:cs="Times New Roman"/>
                <w:color w:val="000000"/>
                <w:sz w:val="21"/>
              </w:rPr>
              <w:t>热销女包</w:t>
            </w:r>
            <w:r>
              <w:rPr>
                <w:rFonts w:ascii="Calibri" w:hAnsi="Calibri" w:cs="Calibri"/>
                <w:color w:val="000000"/>
                <w:sz w:val="21"/>
              </w:rPr>
              <w:t>/</w:t>
            </w:r>
            <w:r>
              <w:rPr>
                <w:rFonts w:ascii="Times New Roman" w:hAnsi="Times New Roman" w:cs="Times New Roman"/>
                <w:color w:val="000000"/>
                <w:sz w:val="21"/>
              </w:rPr>
              <w:t>男包</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手表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饰品</w:t>
            </w:r>
            <w:r>
              <w:rPr>
                <w:rFonts w:ascii="Calibri" w:hAnsi="Calibri" w:cs="Calibri"/>
                <w:color w:val="000000"/>
                <w:sz w:val="21"/>
              </w:rPr>
              <w:t>/</w:t>
            </w:r>
            <w:r>
              <w:rPr>
                <w:rFonts w:ascii="Times New Roman" w:hAnsi="Times New Roman" w:cs="Times New Roman"/>
                <w:color w:val="000000"/>
                <w:sz w:val="21"/>
              </w:rPr>
              <w:t>流行首饰</w:t>
            </w:r>
            <w:r>
              <w:rPr>
                <w:rFonts w:ascii="Calibri" w:hAnsi="Calibri" w:cs="Calibri"/>
                <w:color w:val="000000"/>
                <w:sz w:val="21"/>
              </w:rPr>
              <w:t>/</w:t>
            </w:r>
            <w:r>
              <w:rPr>
                <w:rFonts w:ascii="Times New Roman" w:hAnsi="Times New Roman" w:cs="Times New Roman"/>
                <w:color w:val="000000"/>
                <w:sz w:val="21"/>
              </w:rPr>
              <w:t>时尚饰品新</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运动户外</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运动</w:t>
            </w:r>
            <w:r>
              <w:rPr>
                <w:rFonts w:ascii="Calibri" w:hAnsi="Calibri" w:cs="Calibri"/>
                <w:color w:val="000000"/>
                <w:sz w:val="21"/>
              </w:rPr>
              <w:t>/</w:t>
            </w:r>
            <w:r>
              <w:rPr>
                <w:rFonts w:ascii="Times New Roman" w:hAnsi="Times New Roman" w:cs="Times New Roman"/>
                <w:color w:val="000000"/>
                <w:sz w:val="21"/>
              </w:rPr>
              <w:t>瑜伽</w:t>
            </w:r>
            <w:r>
              <w:rPr>
                <w:rFonts w:ascii="Calibri" w:hAnsi="Calibri" w:cs="Calibri"/>
                <w:color w:val="000000"/>
                <w:sz w:val="21"/>
              </w:rPr>
              <w:t>/</w:t>
            </w:r>
            <w:r>
              <w:rPr>
                <w:rFonts w:ascii="Times New Roman" w:hAnsi="Times New Roman" w:cs="Times New Roman"/>
                <w:color w:val="000000"/>
                <w:sz w:val="21"/>
              </w:rPr>
              <w:t>健身</w:t>
            </w:r>
            <w:r>
              <w:rPr>
                <w:rFonts w:ascii="Calibri" w:hAnsi="Calibri" w:cs="Calibri"/>
                <w:color w:val="000000"/>
                <w:sz w:val="21"/>
              </w:rPr>
              <w:t>/</w:t>
            </w:r>
            <w:r>
              <w:rPr>
                <w:rFonts w:ascii="Songti SC" w:hAnsi="Songti SC" w:eastAsia="Songti SC"/>
                <w:color w:val="333333"/>
                <w:sz w:val="21"/>
              </w:rPr>
              <w:t>球迷用品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自行车</w:t>
            </w:r>
            <w:r>
              <w:rPr>
                <w:rFonts w:ascii="Calibri" w:hAnsi="Calibri" w:cs="Calibri"/>
                <w:color w:val="000000"/>
                <w:sz w:val="21"/>
              </w:rPr>
              <w:t>/</w:t>
            </w:r>
            <w:r>
              <w:rPr>
                <w:rFonts w:ascii="Times New Roman" w:hAnsi="Times New Roman" w:cs="Times New Roman"/>
                <w:color w:val="000000"/>
                <w:sz w:val="21"/>
              </w:rPr>
              <w:t>骑行装备</w:t>
            </w:r>
            <w:r>
              <w:rPr>
                <w:rFonts w:ascii="Calibri" w:hAnsi="Calibri" w:cs="Calibri"/>
                <w:color w:val="000000"/>
                <w:sz w:val="21"/>
              </w:rPr>
              <w:t>/</w:t>
            </w:r>
            <w:r>
              <w:rPr>
                <w:rFonts w:ascii="Times New Roman" w:hAnsi="Times New Roman" w:cs="Times New Roman"/>
                <w:color w:val="000000"/>
                <w:sz w:val="21"/>
              </w:rPr>
              <w:t>零配件</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户外</w:t>
            </w:r>
            <w:r>
              <w:rPr>
                <w:rFonts w:ascii="Calibri" w:hAnsi="Calibri" w:cs="Calibri"/>
                <w:color w:val="000000"/>
                <w:sz w:val="21"/>
              </w:rPr>
              <w:t>/</w:t>
            </w:r>
            <w:r>
              <w:rPr>
                <w:rFonts w:ascii="Times New Roman" w:hAnsi="Times New Roman" w:cs="Times New Roman"/>
                <w:color w:val="000000"/>
                <w:sz w:val="21"/>
              </w:rPr>
              <w:t>登山</w:t>
            </w:r>
            <w:r>
              <w:rPr>
                <w:rFonts w:ascii="Calibri" w:hAnsi="Calibri" w:cs="Calibri"/>
                <w:color w:val="000000"/>
                <w:sz w:val="21"/>
              </w:rPr>
              <w:t>/</w:t>
            </w:r>
            <w:r>
              <w:rPr>
                <w:rFonts w:ascii="Times New Roman" w:hAnsi="Times New Roman" w:cs="Times New Roman"/>
                <w:color w:val="000000"/>
                <w:sz w:val="21"/>
              </w:rPr>
              <w:t>野营</w:t>
            </w:r>
            <w:r>
              <w:rPr>
                <w:rFonts w:ascii="Calibri" w:hAnsi="Calibri" w:cs="Calibri"/>
                <w:color w:val="000000"/>
                <w:sz w:val="21"/>
              </w:rPr>
              <w:t>/</w:t>
            </w:r>
            <w:r>
              <w:rPr>
                <w:rFonts w:ascii="Songti SC" w:hAnsi="Songti SC" w:eastAsia="Songti SC"/>
                <w:color w:val="333333"/>
                <w:sz w:val="21"/>
              </w:rPr>
              <w:t>旅行用品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运动包</w:t>
            </w:r>
            <w:r>
              <w:rPr>
                <w:rFonts w:ascii="Calibri" w:hAnsi="Calibri" w:cs="Calibri"/>
                <w:color w:val="000000"/>
                <w:sz w:val="21"/>
              </w:rPr>
              <w:t>/</w:t>
            </w:r>
            <w:r>
              <w:rPr>
                <w:rFonts w:ascii="Times New Roman" w:hAnsi="Times New Roman" w:cs="Times New Roman"/>
                <w:color w:val="000000"/>
                <w:sz w:val="21"/>
              </w:rPr>
              <w:t>户外包</w:t>
            </w:r>
            <w:r>
              <w:rPr>
                <w:rFonts w:ascii="Calibri" w:hAnsi="Calibri" w:cs="Calibri"/>
                <w:color w:val="000000"/>
                <w:sz w:val="21"/>
              </w:rPr>
              <w:t>/</w:t>
            </w:r>
            <w:r>
              <w:rPr>
                <w:rFonts w:ascii="Times New Roman" w:hAnsi="Times New Roman" w:cs="Times New Roman"/>
                <w:color w:val="000000"/>
                <w:sz w:val="21"/>
              </w:rPr>
              <w:t>配件</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化妆品（含美容工具）</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彩妆</w:t>
            </w:r>
            <w:r>
              <w:rPr>
                <w:rFonts w:ascii="Calibri" w:hAnsi="Calibri" w:cs="Calibri"/>
                <w:color w:val="000000"/>
                <w:sz w:val="21"/>
              </w:rPr>
              <w:t>/</w:t>
            </w:r>
            <w:r>
              <w:rPr>
                <w:rFonts w:ascii="Times New Roman" w:hAnsi="Times New Roman" w:cs="Times New Roman"/>
                <w:color w:val="000000"/>
                <w:sz w:val="21"/>
              </w:rPr>
              <w:t>香水</w:t>
            </w:r>
            <w:r>
              <w:rPr>
                <w:rFonts w:ascii="Calibri" w:hAnsi="Calibri" w:cs="Calibri"/>
                <w:color w:val="000000"/>
                <w:sz w:val="21"/>
              </w:rPr>
              <w:t>/</w:t>
            </w:r>
            <w:r>
              <w:rPr>
                <w:rFonts w:ascii="Times New Roman" w:hAnsi="Times New Roman" w:cs="Times New Roman"/>
                <w:color w:val="000000"/>
                <w:sz w:val="21"/>
              </w:rPr>
              <w:t>美妆工具</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美发护发</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美容护肤</w:t>
            </w:r>
            <w:r>
              <w:rPr>
                <w:rFonts w:ascii="Calibri" w:hAnsi="Calibri" w:cs="Calibri"/>
                <w:color w:val="000000"/>
                <w:sz w:val="21"/>
              </w:rPr>
              <w:t>/</w:t>
            </w:r>
            <w:r>
              <w:rPr>
                <w:rFonts w:ascii="Times New Roman" w:hAnsi="Times New Roman" w:cs="Times New Roman"/>
                <w:color w:val="000000"/>
                <w:sz w:val="21"/>
              </w:rPr>
              <w:t>美体</w:t>
            </w:r>
            <w:r>
              <w:rPr>
                <w:rFonts w:ascii="Calibri" w:hAnsi="Calibri" w:cs="Calibri"/>
                <w:color w:val="000000"/>
                <w:sz w:val="21"/>
              </w:rPr>
              <w:t>/</w:t>
            </w:r>
            <w:r>
              <w:rPr>
                <w:rFonts w:ascii="Times New Roman" w:hAnsi="Times New Roman" w:cs="Times New Roman"/>
                <w:color w:val="000000"/>
                <w:sz w:val="21"/>
              </w:rPr>
              <w:t>精油</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美容美体仪器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Calibri" w:hAnsi="Calibri" w:cs="Calibri"/>
                <w:color w:val="000000"/>
                <w:sz w:val="21"/>
              </w:rPr>
              <w:t>家装家具家纺</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家居饰品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床上用品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居家布艺</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rPr>
              <w:t>汽车及配件</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汽车用品</w:t>
            </w:r>
            <w:r>
              <w:rPr>
                <w:rFonts w:ascii="Calibri" w:hAnsi="Calibri" w:cs="Calibri"/>
                <w:color w:val="000000"/>
                <w:sz w:val="21"/>
              </w:rPr>
              <w:t>/</w:t>
            </w:r>
            <w:r>
              <w:rPr>
                <w:rFonts w:ascii="Times New Roman" w:hAnsi="Times New Roman" w:cs="Times New Roman"/>
                <w:color w:val="000000"/>
                <w:sz w:val="21"/>
              </w:rPr>
              <w:t>电子</w:t>
            </w:r>
            <w:r>
              <w:rPr>
                <w:rFonts w:ascii="Calibri" w:hAnsi="Calibri" w:cs="Calibri"/>
                <w:color w:val="000000"/>
                <w:sz w:val="21"/>
              </w:rPr>
              <w:t>/</w:t>
            </w:r>
            <w:r>
              <w:rPr>
                <w:rFonts w:ascii="Songti SC" w:hAnsi="Songti SC" w:eastAsia="Songti SC"/>
                <w:color w:val="333333"/>
                <w:sz w:val="21"/>
              </w:rPr>
              <w:t>清洗</w:t>
            </w:r>
            <w:r>
              <w:rPr>
                <w:rFonts w:ascii="Calibri" w:hAnsi="Calibri" w:cs="Calibri"/>
                <w:color w:val="333333"/>
                <w:sz w:val="21"/>
              </w:rPr>
              <w:t>/</w:t>
            </w:r>
            <w:r>
              <w:rPr>
                <w:rFonts w:ascii="Songti SC" w:hAnsi="Songti SC" w:eastAsia="Songti SC"/>
                <w:color w:val="333333"/>
                <w:sz w:val="21"/>
              </w:rPr>
              <w:t>改装</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Calibri" w:hAnsi="Calibri" w:cs="Calibri"/>
                <w:color w:val="000000"/>
                <w:sz w:val="21"/>
              </w:rPr>
              <w:t>居家日用</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居家日用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收纳整理</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家庭</w:t>
            </w:r>
            <w:r>
              <w:rPr>
                <w:rFonts w:ascii="Calibri" w:hAnsi="Calibri" w:cs="Calibri"/>
                <w:color w:val="000000"/>
                <w:sz w:val="21"/>
              </w:rPr>
              <w:t>/</w:t>
            </w:r>
            <w:r>
              <w:rPr>
                <w:rFonts w:ascii="Times New Roman" w:hAnsi="Times New Roman" w:cs="Times New Roman"/>
                <w:color w:val="000000"/>
                <w:sz w:val="21"/>
              </w:rPr>
              <w:t>个人清洁工具</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洗护清洁剂</w:t>
            </w:r>
            <w:r>
              <w:rPr>
                <w:rFonts w:ascii="Calibri" w:hAnsi="Calibri" w:cs="Calibri"/>
                <w:color w:val="000000"/>
                <w:sz w:val="21"/>
              </w:rPr>
              <w:t>/</w:t>
            </w:r>
            <w:r>
              <w:rPr>
                <w:rFonts w:ascii="Times New Roman" w:hAnsi="Times New Roman" w:cs="Times New Roman"/>
                <w:color w:val="000000"/>
                <w:sz w:val="21"/>
              </w:rPr>
              <w:t>卫生巾</w:t>
            </w:r>
            <w:r>
              <w:rPr>
                <w:rFonts w:ascii="Calibri" w:hAnsi="Calibri" w:cs="Calibri"/>
                <w:color w:val="000000"/>
                <w:sz w:val="21"/>
              </w:rPr>
              <w:t>/</w:t>
            </w:r>
            <w:r>
              <w:rPr>
                <w:rFonts w:ascii="Times New Roman" w:hAnsi="Times New Roman" w:cs="Times New Roman"/>
                <w:color w:val="000000"/>
                <w:sz w:val="21"/>
              </w:rPr>
              <w:t>纸</w:t>
            </w:r>
            <w:r>
              <w:rPr>
                <w:rFonts w:ascii="Calibri" w:hAnsi="Calibri" w:cs="Calibri"/>
                <w:color w:val="000000"/>
                <w:sz w:val="21"/>
              </w:rPr>
              <w:t>/</w:t>
            </w:r>
            <w:r>
              <w:rPr>
                <w:rFonts w:ascii="Songti SC" w:hAnsi="Songti SC" w:eastAsia="Songti SC"/>
                <w:color w:val="333333"/>
                <w:sz w:val="21"/>
              </w:rPr>
              <w:t>香薰</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厨房</w:t>
            </w:r>
            <w:r>
              <w:rPr>
                <w:rFonts w:ascii="Calibri" w:hAnsi="Calibri" w:cs="Calibri"/>
                <w:color w:val="000000"/>
                <w:sz w:val="21"/>
              </w:rPr>
              <w:t>/</w:t>
            </w:r>
            <w:r>
              <w:rPr>
                <w:rFonts w:ascii="Times New Roman" w:hAnsi="Times New Roman" w:cs="Times New Roman"/>
                <w:color w:val="000000"/>
                <w:sz w:val="21"/>
              </w:rPr>
              <w:t>烹饪用具</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餐饮具</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母婴</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奶粉</w:t>
            </w:r>
            <w:r>
              <w:rPr>
                <w:rFonts w:ascii="Calibri" w:hAnsi="Calibri" w:cs="Calibri"/>
                <w:color w:val="000000"/>
                <w:sz w:val="21"/>
              </w:rPr>
              <w:t>/</w:t>
            </w:r>
            <w:r>
              <w:rPr>
                <w:rFonts w:ascii="Times New Roman" w:hAnsi="Times New Roman" w:cs="Times New Roman"/>
                <w:color w:val="000000"/>
                <w:sz w:val="21"/>
              </w:rPr>
              <w:t>辅食</w:t>
            </w:r>
            <w:r>
              <w:rPr>
                <w:rFonts w:ascii="Calibri" w:hAnsi="Calibri" w:cs="Calibri"/>
                <w:color w:val="000000"/>
                <w:sz w:val="21"/>
              </w:rPr>
              <w:t>/</w:t>
            </w:r>
            <w:r>
              <w:rPr>
                <w:rFonts w:ascii="Times New Roman" w:hAnsi="Times New Roman" w:cs="Times New Roman"/>
                <w:color w:val="000000"/>
                <w:sz w:val="21"/>
              </w:rPr>
              <w:t>营养品</w:t>
            </w:r>
            <w:r>
              <w:rPr>
                <w:rFonts w:ascii="Calibri" w:hAnsi="Calibri" w:cs="Calibri"/>
                <w:color w:val="000000"/>
                <w:sz w:val="21"/>
              </w:rPr>
              <w:t>/</w:t>
            </w:r>
            <w:r>
              <w:rPr>
                <w:rFonts w:ascii="Songti SC" w:hAnsi="Songti SC" w:eastAsia="Songti SC"/>
                <w:color w:val="333333"/>
                <w:sz w:val="21"/>
              </w:rPr>
              <w:t>零食</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玩具</w:t>
            </w:r>
            <w:r>
              <w:rPr>
                <w:rFonts w:ascii="Calibri" w:hAnsi="Calibri" w:cs="Calibri"/>
                <w:color w:val="000000"/>
                <w:sz w:val="21"/>
              </w:rPr>
              <w:t>/</w:t>
            </w:r>
            <w:r>
              <w:rPr>
                <w:rFonts w:ascii="Times New Roman" w:hAnsi="Times New Roman" w:cs="Times New Roman"/>
                <w:color w:val="000000"/>
                <w:sz w:val="21"/>
              </w:rPr>
              <w:t>童车</w:t>
            </w:r>
            <w:r>
              <w:rPr>
                <w:rFonts w:ascii="Calibri" w:hAnsi="Calibri" w:cs="Calibri"/>
                <w:color w:val="000000"/>
                <w:sz w:val="21"/>
              </w:rPr>
              <w:t>/</w:t>
            </w:r>
            <w:r>
              <w:rPr>
                <w:rFonts w:ascii="Times New Roman" w:hAnsi="Times New Roman" w:cs="Times New Roman"/>
                <w:color w:val="000000"/>
                <w:sz w:val="21"/>
              </w:rPr>
              <w:t>益智</w:t>
            </w:r>
            <w:r>
              <w:rPr>
                <w:rFonts w:ascii="Calibri" w:hAnsi="Calibri" w:cs="Calibri"/>
                <w:color w:val="000000"/>
                <w:sz w:val="21"/>
              </w:rPr>
              <w:t>/</w:t>
            </w:r>
            <w:r>
              <w:rPr>
                <w:rFonts w:ascii="Songti SC" w:hAnsi="Songti SC" w:eastAsia="Songti SC"/>
                <w:color w:val="333333"/>
                <w:sz w:val="21"/>
              </w:rPr>
              <w:t>积木</w:t>
            </w:r>
            <w:r>
              <w:rPr>
                <w:rFonts w:ascii="Calibri" w:hAnsi="Calibri" w:cs="Calibri"/>
                <w:color w:val="333333"/>
                <w:sz w:val="21"/>
              </w:rPr>
              <w:t>/</w:t>
            </w:r>
            <w:r>
              <w:rPr>
                <w:rFonts w:ascii="Songti SC" w:hAnsi="Songti SC" w:eastAsia="Songti SC"/>
                <w:color w:val="333333"/>
                <w:sz w:val="21"/>
              </w:rPr>
              <w:t>模型</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婴童用品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婴童尿裤</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食品</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零食</w:t>
            </w:r>
            <w:r>
              <w:rPr>
                <w:rFonts w:ascii="Calibri" w:hAnsi="Calibri" w:cs="Calibri"/>
                <w:color w:val="000000"/>
                <w:sz w:val="21"/>
              </w:rPr>
              <w:t>/</w:t>
            </w:r>
            <w:r>
              <w:rPr>
                <w:rFonts w:ascii="Times New Roman" w:hAnsi="Times New Roman" w:cs="Times New Roman"/>
                <w:color w:val="000000"/>
                <w:sz w:val="21"/>
              </w:rPr>
              <w:t>坚果</w:t>
            </w:r>
            <w:r>
              <w:rPr>
                <w:rFonts w:ascii="Calibri" w:hAnsi="Calibri" w:cs="Calibri"/>
                <w:color w:val="000000"/>
                <w:sz w:val="21"/>
              </w:rPr>
              <w:t>/</w:t>
            </w:r>
            <w:r>
              <w:rPr>
                <w:rFonts w:ascii="Times New Roman" w:hAnsi="Times New Roman" w:cs="Times New Roman"/>
                <w:color w:val="000000"/>
                <w:sz w:val="21"/>
              </w:rPr>
              <w:t>特产</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酒类</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茶</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咖啡</w:t>
            </w:r>
            <w:r>
              <w:rPr>
                <w:rFonts w:ascii="Calibri" w:hAnsi="Calibri" w:cs="Calibri"/>
                <w:color w:val="000000"/>
                <w:sz w:val="21"/>
              </w:rPr>
              <w:t>/</w:t>
            </w:r>
            <w:r>
              <w:rPr>
                <w:rFonts w:ascii="Times New Roman" w:hAnsi="Times New Roman" w:cs="Times New Roman"/>
                <w:color w:val="000000"/>
                <w:sz w:val="21"/>
              </w:rPr>
              <w:t>麦片</w:t>
            </w:r>
            <w:r>
              <w:rPr>
                <w:rFonts w:ascii="Calibri" w:hAnsi="Calibri" w:cs="Calibri"/>
                <w:color w:val="000000"/>
                <w:sz w:val="21"/>
              </w:rPr>
              <w:t>/</w:t>
            </w:r>
            <w:r>
              <w:rPr>
                <w:rFonts w:ascii="Times New Roman" w:hAnsi="Times New Roman" w:cs="Times New Roman"/>
                <w:color w:val="000000"/>
                <w:sz w:val="21"/>
              </w:rPr>
              <w:t>冲饮</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粮油米面</w:t>
            </w:r>
            <w:r>
              <w:rPr>
                <w:rFonts w:ascii="Calibri" w:hAnsi="Calibri" w:cs="Calibri"/>
                <w:color w:val="000000"/>
                <w:sz w:val="21"/>
              </w:rPr>
              <w:t>/</w:t>
            </w:r>
            <w:r>
              <w:rPr>
                <w:rFonts w:ascii="Times New Roman" w:hAnsi="Times New Roman" w:cs="Times New Roman"/>
                <w:color w:val="000000"/>
                <w:sz w:val="21"/>
              </w:rPr>
              <w:t>南北干货</w:t>
            </w:r>
            <w:r>
              <w:rPr>
                <w:rFonts w:ascii="Calibri" w:hAnsi="Calibri" w:cs="Calibri"/>
                <w:color w:val="000000"/>
                <w:sz w:val="21"/>
              </w:rPr>
              <w:t>/</w:t>
            </w:r>
            <w:r>
              <w:rPr>
                <w:rFonts w:ascii="Times New Roman" w:hAnsi="Times New Roman" w:cs="Times New Roman"/>
                <w:color w:val="000000"/>
                <w:sz w:val="21"/>
              </w:rPr>
              <w:t>调味品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水产肉类</w:t>
            </w:r>
            <w:r>
              <w:rPr>
                <w:rFonts w:ascii="Calibri" w:hAnsi="Calibri" w:cs="Calibri"/>
                <w:color w:val="000000"/>
                <w:sz w:val="21"/>
              </w:rPr>
              <w:t>/</w:t>
            </w:r>
            <w:r>
              <w:rPr>
                <w:rFonts w:ascii="Times New Roman" w:hAnsi="Times New Roman" w:cs="Times New Roman"/>
                <w:color w:val="000000"/>
                <w:sz w:val="21"/>
              </w:rPr>
              <w:t>蛋类</w:t>
            </w:r>
            <w:r>
              <w:rPr>
                <w:rFonts w:ascii="Calibri" w:hAnsi="Calibri" w:cs="Calibri"/>
                <w:color w:val="000000"/>
                <w:sz w:val="21"/>
              </w:rPr>
              <w:t>/</w:t>
            </w:r>
            <w:r>
              <w:rPr>
                <w:rFonts w:ascii="Times New Roman" w:hAnsi="Times New Roman" w:cs="Times New Roman"/>
                <w:color w:val="000000"/>
                <w:sz w:val="21"/>
              </w:rPr>
              <w:t>新鲜果蔬</w:t>
            </w:r>
            <w:r>
              <w:rPr>
                <w:rFonts w:ascii="Calibri" w:hAnsi="Calibri" w:cs="Calibri"/>
                <w:color w:val="000000"/>
                <w:sz w:val="21"/>
              </w:rPr>
              <w:t>/</w:t>
            </w:r>
            <w:r>
              <w:rPr>
                <w:rFonts w:ascii="Times New Roman" w:hAnsi="Times New Roman" w:cs="Times New Roman"/>
                <w:color w:val="000000"/>
                <w:sz w:val="21"/>
              </w:rPr>
              <w:t>冰淇淋</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保健品及医药</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传统滋补营养品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保健食品</w:t>
            </w:r>
            <w:r>
              <w:rPr>
                <w:rFonts w:ascii="Calibri" w:hAnsi="Calibri" w:cs="Calibri"/>
                <w:color w:val="000000"/>
                <w:sz w:val="21"/>
              </w:rPr>
              <w:t>/</w:t>
            </w:r>
            <w:r>
              <w:rPr>
                <w:rFonts w:ascii="Times New Roman" w:hAnsi="Times New Roman" w:cs="Times New Roman"/>
                <w:color w:val="000000"/>
                <w:sz w:val="21"/>
              </w:rPr>
              <w:t>膳食营养补充食品</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3C数码</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网络设备</w:t>
            </w:r>
            <w:r>
              <w:rPr>
                <w:rFonts w:ascii="Calibri" w:hAnsi="Calibri" w:cs="Calibri"/>
                <w:color w:val="000000"/>
                <w:sz w:val="21"/>
              </w:rPr>
              <w:t>/</w:t>
            </w:r>
            <w:r>
              <w:rPr>
                <w:rFonts w:ascii="Times New Roman" w:hAnsi="Times New Roman" w:cs="Times New Roman"/>
                <w:color w:val="000000"/>
                <w:sz w:val="21"/>
              </w:rPr>
              <w:t>网络相关</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DIY电脑</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品牌台机</w:t>
            </w:r>
            <w:r>
              <w:rPr>
                <w:rFonts w:ascii="Calibri" w:hAnsi="Calibri" w:cs="Calibri"/>
                <w:color w:val="000000"/>
                <w:sz w:val="21"/>
              </w:rPr>
              <w:t>/</w:t>
            </w:r>
            <w:r>
              <w:rPr>
                <w:rFonts w:ascii="Times New Roman" w:hAnsi="Times New Roman" w:cs="Times New Roman"/>
                <w:color w:val="000000"/>
                <w:sz w:val="21"/>
              </w:rPr>
              <w:t>品牌一体机</w:t>
            </w:r>
            <w:r>
              <w:rPr>
                <w:rFonts w:ascii="Calibri" w:hAnsi="Calibri" w:cs="Calibri"/>
                <w:color w:val="000000"/>
                <w:sz w:val="21"/>
              </w:rPr>
              <w:t>/</w:t>
            </w:r>
            <w:r>
              <w:rPr>
                <w:rFonts w:ascii="Times New Roman" w:hAnsi="Times New Roman" w:cs="Times New Roman"/>
                <w:color w:val="000000"/>
                <w:sz w:val="21"/>
              </w:rPr>
              <w:t>服务器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数码相机</w:t>
            </w:r>
            <w:r>
              <w:rPr>
                <w:rFonts w:ascii="Calibri" w:hAnsi="Calibri" w:cs="Calibri"/>
                <w:color w:val="000000"/>
                <w:sz w:val="21"/>
              </w:rPr>
              <w:t>/</w:t>
            </w:r>
            <w:r>
              <w:rPr>
                <w:rFonts w:ascii="Times New Roman" w:hAnsi="Times New Roman" w:cs="Times New Roman"/>
                <w:color w:val="000000"/>
                <w:sz w:val="21"/>
              </w:rPr>
              <w:t>单反相机</w:t>
            </w:r>
            <w:r>
              <w:rPr>
                <w:rFonts w:ascii="Calibri" w:hAnsi="Calibri" w:cs="Calibri"/>
                <w:color w:val="000000"/>
                <w:sz w:val="21"/>
              </w:rPr>
              <w:t>/</w:t>
            </w:r>
            <w:r>
              <w:rPr>
                <w:rFonts w:ascii="Times New Roman" w:hAnsi="Times New Roman" w:cs="Times New Roman"/>
                <w:color w:val="000000"/>
                <w:sz w:val="21"/>
              </w:rPr>
              <w:t>摄像机</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MP3/MP4/iPod/录音笔</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电脑硬件</w:t>
            </w:r>
            <w:r>
              <w:rPr>
                <w:rFonts w:ascii="Calibri" w:hAnsi="Calibri" w:cs="Calibri"/>
                <w:color w:val="000000"/>
                <w:sz w:val="21"/>
              </w:rPr>
              <w:t>/</w:t>
            </w:r>
            <w:r>
              <w:rPr>
                <w:rFonts w:ascii="Times New Roman" w:hAnsi="Times New Roman" w:cs="Times New Roman"/>
                <w:color w:val="000000"/>
                <w:sz w:val="21"/>
              </w:rPr>
              <w:t>显示器</w:t>
            </w:r>
            <w:r>
              <w:rPr>
                <w:rFonts w:ascii="Calibri" w:hAnsi="Calibri" w:cs="Calibri"/>
                <w:color w:val="000000"/>
                <w:sz w:val="21"/>
              </w:rPr>
              <w:t>/</w:t>
            </w:r>
            <w:r>
              <w:rPr>
                <w:rFonts w:ascii="Times New Roman" w:hAnsi="Times New Roman" w:cs="Times New Roman"/>
                <w:color w:val="000000"/>
                <w:sz w:val="21"/>
              </w:rPr>
              <w:t>电脑周边</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笔记本电脑</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3C数码配件</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闪存卡</w:t>
            </w:r>
            <w:r>
              <w:rPr>
                <w:rFonts w:ascii="Calibri" w:hAnsi="Calibri" w:cs="Calibri"/>
                <w:color w:val="000000"/>
                <w:sz w:val="21"/>
              </w:rPr>
              <w:t>/U</w:t>
            </w:r>
            <w:r>
              <w:rPr>
                <w:rFonts w:ascii="Times New Roman" w:hAnsi="Times New Roman" w:cs="Times New Roman"/>
                <w:color w:val="000000"/>
                <w:sz w:val="21"/>
              </w:rPr>
              <w:t>盘</w:t>
            </w:r>
            <w:r>
              <w:rPr>
                <w:rFonts w:ascii="Calibri" w:hAnsi="Calibri" w:cs="Calibri"/>
                <w:color w:val="000000"/>
                <w:sz w:val="21"/>
              </w:rPr>
              <w:t>/</w:t>
            </w:r>
            <w:r>
              <w:rPr>
                <w:rFonts w:ascii="Times New Roman" w:hAnsi="Times New Roman" w:cs="Times New Roman"/>
                <w:color w:val="000000"/>
                <w:sz w:val="21"/>
              </w:rPr>
              <w:t>存储</w:t>
            </w:r>
            <w:r>
              <w:rPr>
                <w:rFonts w:ascii="Calibri" w:hAnsi="Calibri" w:cs="Calibri"/>
                <w:color w:val="000000"/>
                <w:sz w:val="21"/>
              </w:rPr>
              <w:t>/</w:t>
            </w:r>
            <w:r>
              <w:rPr>
                <w:rFonts w:ascii="Songti SC" w:hAnsi="Songti SC" w:eastAsia="Songti SC"/>
                <w:color w:val="333333"/>
                <w:sz w:val="21"/>
              </w:rPr>
              <w:t>移动硬盘</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平板电脑</w:t>
            </w:r>
            <w:r>
              <w:rPr>
                <w:rFonts w:ascii="Calibri" w:hAnsi="Calibri" w:cs="Calibri"/>
                <w:color w:val="000000"/>
                <w:sz w:val="21"/>
              </w:rPr>
              <w:t>/MID</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智能设备</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手机</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pPr>
            <w:r>
              <w:rPr>
                <w:rFonts w:ascii="Songti SC" w:hAnsi="Songti SC" w:eastAsia="Songti SC"/>
                <w:color w:val="000000"/>
                <w:sz w:val="21"/>
              </w:rPr>
              <w:t>家用电器</w:t>
            </w: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影音电器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厨房电器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生活电器</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个人护理</w:t>
            </w:r>
            <w:r>
              <w:rPr>
                <w:rFonts w:ascii="Calibri" w:hAnsi="Calibri" w:cs="Calibri"/>
                <w:color w:val="000000"/>
                <w:sz w:val="21"/>
              </w:rPr>
              <w:t>/</w:t>
            </w:r>
            <w:r>
              <w:rPr>
                <w:rFonts w:ascii="Times New Roman" w:hAnsi="Times New Roman" w:cs="Times New Roman"/>
                <w:color w:val="000000"/>
                <w:sz w:val="21"/>
              </w:rPr>
              <w:t>保健</w:t>
            </w:r>
            <w:r>
              <w:rPr>
                <w:rFonts w:ascii="Calibri" w:hAnsi="Calibri" w:cs="Calibri"/>
                <w:color w:val="000000"/>
                <w:sz w:val="21"/>
              </w:rPr>
              <w:t>/</w:t>
            </w:r>
            <w:r>
              <w:rPr>
                <w:rFonts w:ascii="Times New Roman" w:hAnsi="Times New Roman" w:cs="Times New Roman"/>
                <w:color w:val="000000"/>
                <w:sz w:val="21"/>
              </w:rPr>
              <w:t>按摩器材</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jc w:val="center"/>
        </w:trPr>
        <w:tc>
          <w:tcPr>
            <w:tcW w:w="1785" w:type="dxa"/>
            <w:vMerge w:val="continue"/>
            <w:tcBorders>
              <w:top w:val="nil"/>
              <w:left w:val="single" w:color="000000" w:sz="8" w:space="0"/>
              <w:bottom w:val="single" w:color="000000" w:sz="8" w:space="0"/>
              <w:right w:val="single" w:color="000000" w:sz="8" w:space="0"/>
            </w:tcBorders>
            <w:shd w:val="clear" w:color="auto" w:fill="auto"/>
          </w:tcPr>
          <w:p/>
        </w:tc>
        <w:tc>
          <w:tcPr>
            <w:tcW w:w="304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r>
              <w:rPr>
                <w:rFonts w:ascii="Songti SC" w:hAnsi="Songti SC" w:eastAsia="Songti SC"/>
                <w:color w:val="000000"/>
                <w:sz w:val="21"/>
              </w:rPr>
              <w:t>大家电</w:t>
            </w:r>
          </w:p>
        </w:tc>
        <w:tc>
          <w:tcPr>
            <w:tcW w:w="131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tc>
      </w:tr>
    </w:tbl>
    <w:p>
      <w:pPr>
        <w:rPr>
          <w:rFonts w:ascii="宋体" w:hAnsi="宋体" w:cs="宋体"/>
          <w:b/>
          <w:bCs/>
          <w:color w:val="000000"/>
          <w:sz w:val="21"/>
          <w:lang w:eastAsia="zh-Hans"/>
        </w:rPr>
      </w:pPr>
    </w:p>
    <w:p>
      <w:pPr>
        <w:pStyle w:val="8"/>
        <w:spacing w:before="120" w:line="360" w:lineRule="auto"/>
        <w:rPr>
          <w:sz w:val="21"/>
          <w:szCs w:val="18"/>
        </w:rPr>
      </w:pPr>
      <w:r>
        <w:rPr>
          <w:rFonts w:hint="eastAsia"/>
          <w:sz w:val="21"/>
          <w:szCs w:val="18"/>
        </w:rPr>
        <w:t>投标人名称（公章）：</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p>
    <w:p>
      <w:pPr>
        <w:spacing w:line="360" w:lineRule="auto"/>
        <w:rPr>
          <w:szCs w:val="21"/>
        </w:rPr>
      </w:pPr>
    </w:p>
    <w:p>
      <w:pPr>
        <w:spacing w:line="360" w:lineRule="auto"/>
        <w:rPr>
          <w:szCs w:val="21"/>
          <w:u w:val="single"/>
        </w:rPr>
      </w:pPr>
      <w:r>
        <w:rPr>
          <w:rFonts w:hint="eastAsia"/>
          <w:szCs w:val="21"/>
        </w:rPr>
        <w:t>授权代理人（签字）：</w:t>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line="360" w:lineRule="auto"/>
        <w:rPr>
          <w:szCs w:val="21"/>
          <w:u w:val="single"/>
        </w:rPr>
      </w:pPr>
    </w:p>
    <w:p>
      <w:pPr>
        <w:spacing w:line="360" w:lineRule="auto"/>
        <w:rPr>
          <w:szCs w:val="21"/>
          <w:u w:val="single"/>
        </w:rPr>
      </w:pPr>
      <w:r>
        <w:rPr>
          <w:rFonts w:hint="eastAsia"/>
        </w:rPr>
        <w:t>日期：</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rPr>
          <w:rFonts w:ascii="宋体" w:hAnsi="宋体"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2"/>
        <w:rPr>
          <w:rFonts w:cs="宋体"/>
          <w:b/>
          <w:bCs/>
          <w:color w:val="000000"/>
          <w:sz w:val="21"/>
          <w:lang w:eastAsia="zh-Hans"/>
        </w:rPr>
      </w:pPr>
    </w:p>
    <w:p>
      <w:pPr>
        <w:pStyle w:val="4"/>
        <w:widowControl w:val="0"/>
        <w:numPr>
          <w:ilvl w:val="1"/>
          <w:numId w:val="53"/>
        </w:numPr>
        <w:adjustRightInd/>
        <w:spacing w:before="260" w:after="260" w:line="412" w:lineRule="auto"/>
        <w:ind w:left="575"/>
        <w:jc w:val="both"/>
        <w:textAlignment w:val="auto"/>
        <w:rPr>
          <w:rFonts w:hint="eastAsia"/>
          <w:szCs w:val="22"/>
          <w:lang w:val="en-US" w:eastAsia="zh-Hans"/>
        </w:rPr>
      </w:pPr>
      <w:r>
        <w:rPr>
          <w:rFonts w:hint="eastAsia"/>
          <w:szCs w:val="22"/>
          <w:lang w:val="en-US" w:eastAsia="zh-Hans"/>
        </w:rPr>
        <w:t>附件二：供应商信息采集表</w:t>
      </w:r>
    </w:p>
    <w:tbl>
      <w:tblPr>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45"/>
        <w:gridCol w:w="3660"/>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67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default" w:ascii="微软雅黑" w:hAnsi="微软雅黑" w:eastAsia="微软雅黑" w:cs="微软雅黑"/>
                <w:b/>
                <w:i w:val="0"/>
                <w:color w:val="000000"/>
                <w:kern w:val="0"/>
                <w:sz w:val="28"/>
                <w:szCs w:val="28"/>
                <w:u w:val="none"/>
                <w:lang w:val="en-US" w:eastAsia="zh-CN" w:bidi="ar"/>
              </w:rPr>
              <w:t>兑吧供应商信息采集表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24"/>
                <w:szCs w:val="24"/>
                <w:u w:val="none"/>
              </w:rPr>
            </w:pPr>
            <w:r>
              <w:rPr>
                <w:rFonts w:hint="default" w:ascii="微软雅黑" w:hAnsi="微软雅黑" w:eastAsia="微软雅黑" w:cs="微软雅黑"/>
                <w:b/>
                <w:i w:val="0"/>
                <w:color w:val="000000"/>
                <w:kern w:val="0"/>
                <w:sz w:val="24"/>
                <w:szCs w:val="24"/>
                <w:u w:val="none"/>
                <w:lang w:val="en-US" w:eastAsia="zh-CN" w:bidi="ar"/>
              </w:rPr>
              <w:t>基本情况</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供应商名称（本次合作主体）</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注册时间</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注册资金</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公司人数规模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纳税人性质及税率（一般/小规模）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网址</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主营业务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是否合作兑吧其他业务或合作旗下公司业务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24"/>
                <w:szCs w:val="24"/>
                <w:u w:val="none"/>
              </w:rPr>
            </w:pPr>
            <w:r>
              <w:rPr>
                <w:rFonts w:hint="default" w:ascii="微软雅黑" w:hAnsi="微软雅黑" w:eastAsia="微软雅黑" w:cs="微软雅黑"/>
                <w:b/>
                <w:i w:val="0"/>
                <w:color w:val="000000"/>
                <w:kern w:val="0"/>
                <w:sz w:val="24"/>
                <w:szCs w:val="24"/>
                <w:u w:val="none"/>
                <w:lang w:val="en-US" w:eastAsia="zh-CN" w:bidi="ar"/>
              </w:rPr>
              <w:t>相关业务信息</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过去一年服务客户数量规模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重点合作客户</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过去一年服务客户金额规模</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礼品品类、数量</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是否有成熟的物流仓储管理系统</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是否有产品质量保障</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是否可以生产定制化产品</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是否有专业的操作后台系统</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是否有专业执行团队和售后客服团队</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主供商品品类</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24"/>
                <w:szCs w:val="24"/>
                <w:u w:val="none"/>
              </w:rPr>
            </w:pPr>
            <w:r>
              <w:rPr>
                <w:rFonts w:hint="default" w:ascii="微软雅黑" w:hAnsi="微软雅黑" w:eastAsia="微软雅黑" w:cs="微软雅黑"/>
                <w:b/>
                <w:i w:val="0"/>
                <w:color w:val="000000"/>
                <w:kern w:val="0"/>
                <w:sz w:val="24"/>
                <w:szCs w:val="24"/>
                <w:u w:val="none"/>
                <w:lang w:val="en-US" w:eastAsia="zh-CN" w:bidi="ar"/>
              </w:rPr>
              <w:t>可提供资源及服务</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服务团队人员配置</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账期接受程度</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微软雅黑" w:hAnsi="微软雅黑" w:eastAsia="微软雅黑" w:cs="微软雅黑"/>
                <w:b/>
                <w:i w:val="0"/>
                <w:color w:val="000000"/>
                <w:sz w:val="24"/>
                <w:szCs w:val="24"/>
                <w:u w:val="none"/>
              </w:rPr>
            </w:pP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rPr>
            </w:pPr>
            <w:r>
              <w:rPr>
                <w:rFonts w:hint="default" w:ascii="微软雅黑" w:hAnsi="微软雅黑" w:eastAsia="微软雅黑" w:cs="微软雅黑"/>
                <w:i w:val="0"/>
                <w:color w:val="000000"/>
                <w:kern w:val="0"/>
                <w:sz w:val="20"/>
                <w:szCs w:val="20"/>
                <w:u w:val="none"/>
                <w:lang w:val="en-US" w:eastAsia="zh-CN" w:bidi="ar"/>
              </w:rPr>
              <w:t>其他增值服务/其他公司优势</w:t>
            </w:r>
          </w:p>
        </w:tc>
        <w:tc>
          <w:tcPr>
            <w:tcW w:w="31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微软雅黑" w:hAnsi="微软雅黑" w:eastAsia="微软雅黑" w:cs="微软雅黑"/>
                <w:i w:val="0"/>
                <w:color w:val="000000"/>
                <w:sz w:val="20"/>
                <w:szCs w:val="20"/>
                <w:u w:val="none"/>
              </w:rPr>
            </w:pPr>
          </w:p>
        </w:tc>
      </w:tr>
    </w:tbl>
    <w:p>
      <w:pPr>
        <w:rPr>
          <w:rFonts w:hint="eastAsia"/>
          <w:lang w:val="en-US" w:eastAsia="zh-Hans"/>
        </w:rPr>
      </w:pPr>
    </w:p>
    <w:p>
      <w:pPr>
        <w:pStyle w:val="3"/>
        <w:numPr>
          <w:ilvl w:val="0"/>
          <w:numId w:val="53"/>
        </w:numPr>
        <w:spacing w:before="340" w:after="330" w:line="576" w:lineRule="auto"/>
        <w:ind w:left="432"/>
        <w:jc w:val="both"/>
        <w:rPr>
          <w:rFonts w:ascii="Arial" w:hAnsi="Arial" w:eastAsia="黑体"/>
          <w:kern w:val="0"/>
          <w:sz w:val="30"/>
          <w:szCs w:val="22"/>
          <w:lang w:eastAsia="zh-Hans"/>
        </w:rPr>
      </w:pPr>
      <w:bookmarkStart w:id="0" w:name="_Toc30333946"/>
      <w:bookmarkStart w:id="1" w:name="_Toc26576"/>
      <w:bookmarkStart w:id="2" w:name="_Toc20134"/>
      <w:r>
        <w:rPr>
          <w:rFonts w:hint="eastAsia" w:ascii="Arial" w:hAnsi="Arial" w:eastAsia="黑体"/>
          <w:kern w:val="0"/>
          <w:sz w:val="30"/>
          <w:szCs w:val="22"/>
          <w:lang w:eastAsia="zh-Hans"/>
        </w:rPr>
        <w:t>商务响应文件</w:t>
      </w:r>
      <w:bookmarkEnd w:id="0"/>
      <w:bookmarkEnd w:id="1"/>
      <w:bookmarkEnd w:id="2"/>
    </w:p>
    <w:p>
      <w:pPr>
        <w:pStyle w:val="4"/>
        <w:numPr>
          <w:ilvl w:val="1"/>
          <w:numId w:val="53"/>
        </w:numPr>
        <w:adjustRightInd/>
        <w:spacing w:before="260" w:after="260" w:line="412" w:lineRule="auto"/>
        <w:ind w:left="575"/>
        <w:jc w:val="both"/>
        <w:textAlignment w:val="auto"/>
      </w:pPr>
      <w:bookmarkStart w:id="3" w:name="_Toc30333947"/>
      <w:bookmarkStart w:id="4" w:name="_Toc5315"/>
      <w:bookmarkStart w:id="5" w:name="_Toc18754"/>
      <w:r>
        <w:rPr>
          <w:rFonts w:hint="eastAsia"/>
        </w:rPr>
        <w:t>企业法人营业执照副本</w:t>
      </w:r>
      <w:bookmarkEnd w:id="3"/>
      <w:bookmarkEnd w:id="4"/>
      <w:bookmarkEnd w:id="5"/>
    </w:p>
    <w:p>
      <w:pPr>
        <w:spacing w:after="312" w:afterLines="100" w:line="360" w:lineRule="auto"/>
        <w:jc w:val="center"/>
        <w:rPr>
          <w:rFonts w:ascii="宋体" w:hAnsi="宋体" w:cs="宋体"/>
          <w:b/>
          <w:bCs/>
          <w:sz w:val="32"/>
          <w:szCs w:val="32"/>
        </w:rPr>
      </w:pPr>
      <w:r>
        <w:rPr>
          <w:rFonts w:hint="eastAsia" w:ascii="宋体" w:hAnsi="宋体" w:cs="宋体"/>
          <w:b/>
          <w:bCs/>
          <w:sz w:val="32"/>
          <w:szCs w:val="32"/>
        </w:rPr>
        <w:t>企业法人营业执照副本</w:t>
      </w:r>
    </w:p>
    <w:p>
      <w:pPr>
        <w:spacing w:line="360" w:lineRule="auto"/>
        <w:rPr>
          <w:rFonts w:ascii="Calibri" w:hAnsi="Calibri"/>
          <w:b/>
          <w:bCs/>
          <w:szCs w:val="24"/>
        </w:rPr>
      </w:pPr>
    </w:p>
    <w:p>
      <w:pPr>
        <w:spacing w:line="360" w:lineRule="auto"/>
        <w:rPr>
          <w:rFonts w:ascii="宋体" w:hAnsi="宋体" w:cs="宋体"/>
          <w:b/>
          <w:bCs/>
        </w:rPr>
      </w:pPr>
      <w:bookmarkStart w:id="6" w:name="_Hlk33717720"/>
      <w:r>
        <w:rPr>
          <w:rFonts w:hint="eastAsia" w:ascii="宋体" w:hAnsi="宋体" w:cs="宋体"/>
          <w:b/>
          <w:bCs/>
        </w:rPr>
        <w:t>注：</w:t>
      </w:r>
    </w:p>
    <w:p>
      <w:pPr>
        <w:spacing w:line="360" w:lineRule="auto"/>
        <w:rPr>
          <w:rFonts w:ascii="宋体" w:hAnsi="宋体" w:cs="宋体"/>
          <w:b/>
          <w:bCs/>
        </w:rPr>
      </w:pPr>
      <w:r>
        <w:rPr>
          <w:rFonts w:ascii="宋体" w:hAnsi="宋体" w:cs="宋体"/>
          <w:b/>
          <w:bCs/>
        </w:rPr>
        <w:t>1.</w:t>
      </w:r>
      <w:r>
        <w:rPr>
          <w:rFonts w:hint="eastAsia" w:ascii="宋体" w:hAnsi="宋体" w:cs="宋体"/>
          <w:b/>
          <w:bCs/>
        </w:rPr>
        <w:t>投标人将企业法人营业执照副本（或具有同等法律效力的证照，按照招标文件要求）复印件附在此处，并加盖公章。复印件应能清晰显示投标人名称。</w:t>
      </w:r>
    </w:p>
    <w:p>
      <w:pPr>
        <w:spacing w:line="360" w:lineRule="auto"/>
        <w:rPr>
          <w:rFonts w:ascii="宋体" w:hAnsi="宋体" w:cs="宋体"/>
          <w:b/>
          <w:bCs/>
        </w:rPr>
      </w:pPr>
      <w:r>
        <w:rPr>
          <w:rFonts w:hint="eastAsia" w:ascii="宋体" w:cs="宋体"/>
          <w:b/>
          <w:bCs/>
        </w:rPr>
        <w:t>2</w:t>
      </w:r>
      <w:r>
        <w:rPr>
          <w:rFonts w:ascii="宋体" w:cs="宋体"/>
          <w:b/>
          <w:bCs/>
        </w:rPr>
        <w:t>.</w:t>
      </w:r>
      <w:r>
        <w:rPr>
          <w:rFonts w:hint="eastAsia" w:ascii="宋体" w:cs="宋体"/>
          <w:b/>
          <w:bCs/>
        </w:rPr>
        <w:t>如投标人为代理商，则须同时提供符合要求的代理商及原厂商符合上述要求的证明文件。</w:t>
      </w:r>
      <w:bookmarkEnd w:id="6"/>
    </w:p>
    <w:p>
      <w:pPr>
        <w:spacing w:beforeAutospacing="1" w:line="360" w:lineRule="auto"/>
        <w:rPr>
          <w:rFonts w:ascii="宋体" w:hAnsi="宋体" w:cs="宋体"/>
          <w:b/>
          <w:bCs/>
        </w:rPr>
        <w:sectPr>
          <w:pgSz w:w="11906" w:h="16838"/>
          <w:pgMar w:top="1440" w:right="1800" w:bottom="1440" w:left="1800" w:header="851" w:footer="992" w:gutter="0"/>
          <w:cols w:space="720" w:num="1"/>
          <w:docGrid w:type="lines" w:linePitch="312" w:charSpace="0"/>
        </w:sectPr>
      </w:pPr>
    </w:p>
    <w:p>
      <w:pPr>
        <w:pStyle w:val="4"/>
        <w:numPr>
          <w:ilvl w:val="1"/>
          <w:numId w:val="53"/>
        </w:numPr>
        <w:adjustRightInd/>
        <w:spacing w:before="260" w:after="260" w:line="412" w:lineRule="auto"/>
        <w:ind w:left="575"/>
        <w:jc w:val="both"/>
        <w:textAlignment w:val="auto"/>
      </w:pPr>
      <w:bookmarkStart w:id="7" w:name="_Toc30333949"/>
      <w:bookmarkStart w:id="8" w:name="_Toc31962"/>
      <w:bookmarkStart w:id="9" w:name="_Toc8819"/>
      <w:r>
        <w:rPr>
          <w:rFonts w:hint="eastAsia"/>
        </w:rPr>
        <w:t>法定代表人授权书</w:t>
      </w:r>
      <w:bookmarkEnd w:id="7"/>
      <w:bookmarkEnd w:id="8"/>
      <w:bookmarkEnd w:id="9"/>
    </w:p>
    <w:p>
      <w:pPr>
        <w:spacing w:after="290" w:afterLines="100" w:line="360" w:lineRule="auto"/>
        <w:jc w:val="center"/>
        <w:rPr>
          <w:rFonts w:ascii="宋体" w:hAnsi="宋体" w:cs="宋体"/>
          <w:b/>
          <w:bCs/>
          <w:sz w:val="32"/>
          <w:szCs w:val="32"/>
        </w:rPr>
      </w:pPr>
      <w:r>
        <w:rPr>
          <w:rFonts w:hint="eastAsia" w:ascii="宋体" w:hAnsi="宋体" w:cs="宋体"/>
          <w:b/>
          <w:bCs/>
          <w:sz w:val="32"/>
          <w:szCs w:val="32"/>
        </w:rPr>
        <w:t>法定代表人授权书</w:t>
      </w:r>
    </w:p>
    <w:p>
      <w:pPr>
        <w:spacing w:line="360" w:lineRule="auto"/>
        <w:ind w:firstLine="400" w:firstLineChars="200"/>
        <w:rPr>
          <w:rFonts w:ascii="宋体" w:hAnsi="宋体" w:cs="宋体"/>
          <w:szCs w:val="21"/>
        </w:rPr>
      </w:pPr>
      <w:r>
        <w:rPr>
          <w:rFonts w:hint="eastAsia" w:ascii="宋体" w:hAnsi="宋体" w:cs="宋体"/>
          <w:szCs w:val="21"/>
        </w:rPr>
        <w:t>本授权书声明：注册于</w:t>
      </w:r>
      <w:r>
        <w:rPr>
          <w:rFonts w:hint="eastAsia" w:ascii="宋体" w:hAnsi="宋体" w:cs="宋体"/>
          <w:szCs w:val="21"/>
          <w:u w:val="single"/>
        </w:rPr>
        <w:t>（国家或地区的名称）</w:t>
      </w:r>
      <w:r>
        <w:rPr>
          <w:rFonts w:hint="eastAsia" w:ascii="宋体" w:hAnsi="宋体" w:cs="宋体"/>
          <w:szCs w:val="21"/>
        </w:rPr>
        <w:t>的</w:t>
      </w:r>
      <w:r>
        <w:rPr>
          <w:rFonts w:hint="eastAsia" w:ascii="宋体" w:hAnsi="宋体" w:cs="宋体"/>
          <w:szCs w:val="21"/>
          <w:u w:val="single"/>
        </w:rPr>
        <w:t xml:space="preserve">         （公司名称）      </w:t>
      </w:r>
      <w:r>
        <w:rPr>
          <w:rFonts w:hint="eastAsia" w:ascii="宋体" w:hAnsi="宋体" w:cs="宋体"/>
          <w:szCs w:val="21"/>
        </w:rPr>
        <w:t>的在下面签字或签章的</w:t>
      </w:r>
      <w:r>
        <w:rPr>
          <w:rFonts w:hint="eastAsia" w:ascii="宋体" w:hAnsi="宋体" w:cs="宋体"/>
          <w:szCs w:val="21"/>
          <w:u w:val="single"/>
        </w:rPr>
        <w:t xml:space="preserve">   （法定代表人姓名、职务）   </w:t>
      </w:r>
      <w:r>
        <w:rPr>
          <w:rFonts w:hint="eastAsia" w:ascii="宋体" w:hAnsi="宋体" w:cs="宋体"/>
          <w:szCs w:val="21"/>
        </w:rPr>
        <w:t xml:space="preserve">代表本公司授权 </w:t>
      </w:r>
      <w:r>
        <w:rPr>
          <w:rFonts w:hint="eastAsia" w:ascii="宋体" w:hAnsi="宋体" w:cs="宋体"/>
          <w:szCs w:val="21"/>
          <w:u w:val="single"/>
        </w:rPr>
        <w:t xml:space="preserve">        （单位名称）      </w:t>
      </w:r>
      <w:r>
        <w:rPr>
          <w:rFonts w:hint="eastAsia" w:ascii="宋体" w:hAnsi="宋体" w:cs="宋体"/>
          <w:szCs w:val="21"/>
        </w:rPr>
        <w:t>的在下面签字的</w:t>
      </w:r>
      <w:r>
        <w:rPr>
          <w:rFonts w:hint="eastAsia" w:ascii="宋体" w:hAnsi="宋体" w:cs="宋体"/>
          <w:szCs w:val="21"/>
          <w:u w:val="single"/>
        </w:rPr>
        <w:t>（授权代理人的姓名、职务）（身份证号码：             ）</w:t>
      </w:r>
      <w:r>
        <w:rPr>
          <w:rFonts w:hint="eastAsia" w:ascii="宋体" w:hAnsi="宋体" w:cs="宋体"/>
          <w:szCs w:val="21"/>
        </w:rPr>
        <w:t>为本公司的合法代理人，就</w:t>
      </w:r>
      <w:r>
        <w:rPr>
          <w:rFonts w:hint="eastAsia" w:ascii="宋体" w:hAnsi="宋体" w:cs="宋体"/>
          <w:szCs w:val="21"/>
          <w:u w:val="single"/>
        </w:rPr>
        <w:t xml:space="preserve">          （项目名称）         </w:t>
      </w:r>
      <w:r>
        <w:rPr>
          <w:rFonts w:hint="eastAsia" w:ascii="宋体" w:hAnsi="宋体" w:cs="宋体"/>
          <w:szCs w:val="21"/>
        </w:rPr>
        <w:t>，以本公司名义处理一切与之相关的事务，其后果由我公司承担。</w:t>
      </w:r>
    </w:p>
    <w:p>
      <w:pPr>
        <w:spacing w:line="360" w:lineRule="auto"/>
        <w:ind w:firstLine="400" w:firstLineChars="200"/>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 特此声明。</w:t>
      </w:r>
    </w:p>
    <w:p>
      <w:pPr>
        <w:spacing w:line="360" w:lineRule="auto"/>
        <w:ind w:firstLine="400" w:firstLineChars="200"/>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投标人名称（公章）：       </w:t>
      </w:r>
      <w:r>
        <w:rPr>
          <w:rFonts w:hint="eastAsia" w:ascii="宋体" w:hAnsi="宋体" w:cs="宋体"/>
          <w:szCs w:val="21"/>
          <w:u w:val="single"/>
        </w:rPr>
        <w:t xml:space="preserve">                     </w:t>
      </w:r>
    </w:p>
    <w:p>
      <w:pPr>
        <w:spacing w:line="360" w:lineRule="auto"/>
        <w:rPr>
          <w:rFonts w:ascii="宋体" w:hAnsi="宋体" w:cs="宋体"/>
          <w:szCs w:val="21"/>
          <w:u w:val="single"/>
        </w:rPr>
      </w:pPr>
      <w:r>
        <w:rPr>
          <w:rFonts w:hint="eastAsia" w:ascii="宋体" w:hAnsi="宋体" w:cs="宋体"/>
          <w:szCs w:val="21"/>
        </w:rPr>
        <w:t xml:space="preserve">法定代表人（签字或签章）： </w:t>
      </w:r>
      <w:r>
        <w:rPr>
          <w:rFonts w:hint="eastAsia" w:ascii="宋体" w:hAnsi="宋体" w:cs="宋体"/>
          <w:szCs w:val="21"/>
          <w:u w:val="single"/>
        </w:rPr>
        <w:t xml:space="preserve">                     </w:t>
      </w:r>
    </w:p>
    <w:p>
      <w:pPr>
        <w:pStyle w:val="10"/>
        <w:spacing w:line="360" w:lineRule="auto"/>
        <w:rPr>
          <w:rFonts w:ascii="宋体" w:eastAsia="宋体"/>
          <w:szCs w:val="24"/>
        </w:rPr>
      </w:pPr>
      <w:r>
        <w:rPr>
          <w:rFonts w:hint="eastAsia" w:ascii="宋体" w:eastAsia="宋体" w:cs="宋体"/>
          <w:szCs w:val="21"/>
        </w:rPr>
        <w:t xml:space="preserve">身份证号码：              </w:t>
      </w:r>
      <w:r>
        <w:rPr>
          <w:rFonts w:hint="eastAsia" w:ascii="宋体" w:eastAsia="宋体" w:cs="宋体"/>
          <w:szCs w:val="21"/>
          <w:u w:val="single"/>
        </w:rPr>
        <w:t xml:space="preserve">                     </w:t>
      </w:r>
    </w:p>
    <w:p>
      <w:pPr>
        <w:spacing w:line="360" w:lineRule="auto"/>
        <w:rPr>
          <w:rFonts w:ascii="宋体" w:hAnsi="宋体" w:cs="宋体"/>
          <w:szCs w:val="21"/>
          <w:u w:val="single"/>
        </w:rPr>
      </w:pPr>
      <w:r>
        <w:rPr>
          <w:rFonts w:hint="eastAsia" w:ascii="宋体" w:hAnsi="宋体" w:cs="宋体"/>
          <w:szCs w:val="21"/>
        </w:rPr>
        <w:t xml:space="preserve">授权代理人（签字）：       </w:t>
      </w:r>
      <w:r>
        <w:rPr>
          <w:rFonts w:hint="eastAsia" w:ascii="宋体" w:hAnsi="宋体" w:cs="宋体"/>
          <w:szCs w:val="21"/>
          <w:u w:val="single"/>
        </w:rPr>
        <w:t xml:space="preserve">                     </w:t>
      </w:r>
    </w:p>
    <w:p>
      <w:pPr>
        <w:pStyle w:val="10"/>
        <w:spacing w:line="360" w:lineRule="auto"/>
        <w:rPr>
          <w:rFonts w:ascii="宋体" w:eastAsia="宋体"/>
          <w:szCs w:val="24"/>
        </w:rPr>
      </w:pPr>
      <w:r>
        <w:rPr>
          <w:rFonts w:hint="eastAsia" w:ascii="宋体" w:eastAsia="宋体" w:cs="宋体"/>
          <w:szCs w:val="21"/>
        </w:rPr>
        <w:t xml:space="preserve">身份证号码：             </w:t>
      </w:r>
      <w:r>
        <w:rPr>
          <w:rFonts w:hint="eastAsia" w:ascii="宋体" w:eastAsia="宋体" w:cs="宋体"/>
          <w:szCs w:val="21"/>
          <w:u w:val="single"/>
        </w:rPr>
        <w:t xml:space="preserve">                      </w:t>
      </w:r>
    </w:p>
    <w:p>
      <w:pPr>
        <w:spacing w:line="360" w:lineRule="auto"/>
        <w:rPr>
          <w:rFonts w:ascii="宋体" w:hAnsi="宋体" w:cs="宋体"/>
          <w:szCs w:val="21"/>
          <w:u w:val="single"/>
        </w:rPr>
      </w:pPr>
    </w:p>
    <w:p>
      <w:pPr>
        <w:pStyle w:val="10"/>
        <w:rPr>
          <w:rFonts w:ascii="宋体" w:eastAsia="宋体" w:cs="宋体"/>
          <w:szCs w:val="21"/>
        </w:rPr>
      </w:pPr>
      <w:r>
        <w:rPr>
          <w:rFonts w:hint="eastAsia" w:ascii="宋体" w:eastAsia="宋体" w:cs="宋体"/>
          <w:szCs w:val="21"/>
        </w:rPr>
        <w:t>附：</w:t>
      </w:r>
    </w:p>
    <w:p>
      <w:pPr>
        <w:pStyle w:val="10"/>
        <w:rPr>
          <w:rFonts w:ascii="宋体" w:eastAsia="宋体" w:cs="宋体"/>
          <w:szCs w:val="21"/>
        </w:rPr>
      </w:pPr>
      <w:r>
        <w:rPr>
          <w:rFonts w:hint="eastAsia" w:ascii="宋体" w:eastAsia="宋体" w:cs="宋体"/>
          <w:szCs w:val="21"/>
        </w:rPr>
        <w:t>法定代表人身份证复印件（正反面）</w:t>
      </w:r>
    </w:p>
    <w:p>
      <w:pPr>
        <w:pStyle w:val="10"/>
        <w:rPr>
          <w:rFonts w:ascii="宋体" w:eastAsia="宋体" w:cs="宋体"/>
          <w:szCs w:val="21"/>
        </w:rPr>
      </w:pPr>
    </w:p>
    <w:p>
      <w:pPr>
        <w:pStyle w:val="10"/>
        <w:rPr>
          <w:rFonts w:ascii="宋体" w:eastAsia="宋体" w:cs="宋体"/>
          <w:szCs w:val="21"/>
        </w:rPr>
      </w:pPr>
    </w:p>
    <w:p>
      <w:pPr>
        <w:pStyle w:val="10"/>
        <w:rPr>
          <w:rFonts w:ascii="宋体" w:eastAsia="宋体" w:cs="宋体"/>
          <w:szCs w:val="21"/>
        </w:rPr>
      </w:pPr>
    </w:p>
    <w:p>
      <w:pPr>
        <w:pStyle w:val="10"/>
        <w:rPr>
          <w:rFonts w:ascii="宋体" w:eastAsia="宋体" w:cs="宋体"/>
          <w:szCs w:val="21"/>
        </w:rPr>
      </w:pPr>
      <w:r>
        <w:rPr>
          <w:rFonts w:hint="eastAsia" w:ascii="宋体" w:eastAsia="宋体" w:cs="宋体"/>
          <w:szCs w:val="21"/>
        </w:rPr>
        <w:t>授权代理人身份证复印件（正反面）</w:t>
      </w:r>
    </w:p>
    <w:p>
      <w:pPr>
        <w:pStyle w:val="10"/>
        <w:rPr>
          <w:rFonts w:ascii="宋体" w:cs="宋体"/>
          <w:szCs w:val="21"/>
        </w:rPr>
      </w:pPr>
    </w:p>
    <w:p>
      <w:pPr>
        <w:pStyle w:val="2"/>
        <w:rPr>
          <w:rFonts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rPr>
          <w:rFonts w:ascii="宋体" w:hAnsi="宋体" w:cs="宋体"/>
          <w:b/>
          <w:bCs/>
          <w:color w:val="000000"/>
          <w:sz w:val="21"/>
          <w:lang w:eastAsia="zh-Hans"/>
        </w:rPr>
      </w:pPr>
    </w:p>
    <w:p>
      <w:pPr>
        <w:pStyle w:val="4"/>
        <w:numPr>
          <w:ilvl w:val="1"/>
          <w:numId w:val="53"/>
        </w:numPr>
        <w:adjustRightInd/>
        <w:spacing w:before="260" w:after="260" w:line="412" w:lineRule="auto"/>
        <w:ind w:left="575"/>
        <w:jc w:val="both"/>
        <w:textAlignment w:val="auto"/>
      </w:pPr>
      <w:bookmarkStart w:id="10" w:name="_Toc16436"/>
      <w:bookmarkStart w:id="11" w:name="_Toc31497"/>
      <w:bookmarkStart w:id="12" w:name="_Toc30333951"/>
      <w:r>
        <w:rPr>
          <w:rFonts w:hint="eastAsia"/>
        </w:rPr>
        <w:t>廉洁承诺书</w:t>
      </w:r>
      <w:bookmarkEnd w:id="10"/>
      <w:bookmarkEnd w:id="11"/>
      <w:bookmarkEnd w:id="12"/>
    </w:p>
    <w:p>
      <w:pPr>
        <w:spacing w:after="290" w:afterLines="100" w:line="360" w:lineRule="auto"/>
        <w:jc w:val="center"/>
        <w:rPr>
          <w:rFonts w:ascii="宋体" w:hAnsi="宋体" w:cs="宋体"/>
          <w:b/>
          <w:bCs/>
          <w:sz w:val="32"/>
          <w:szCs w:val="32"/>
        </w:rPr>
      </w:pPr>
      <w:r>
        <w:rPr>
          <w:rFonts w:hint="eastAsia" w:ascii="宋体" w:hAnsi="宋体" w:cs="宋体"/>
          <w:b/>
          <w:bCs/>
          <w:sz w:val="32"/>
          <w:szCs w:val="32"/>
        </w:rPr>
        <w:t>廉洁承诺书</w:t>
      </w:r>
    </w:p>
    <w:p>
      <w:pPr>
        <w:spacing w:line="360" w:lineRule="auto"/>
        <w:rPr>
          <w:rFonts w:ascii="宋体" w:hAnsi="宋体" w:cs="宋体"/>
          <w:b/>
          <w:bCs/>
          <w:sz w:val="24"/>
          <w:szCs w:val="24"/>
        </w:rPr>
      </w:pPr>
      <w:r>
        <w:rPr>
          <w:rFonts w:hint="eastAsia" w:ascii="宋体" w:hAnsi="宋体" w:cs="宋体"/>
          <w:b/>
          <w:bCs/>
          <w:sz w:val="24"/>
          <w:lang w:eastAsia="zh-Hans"/>
        </w:rPr>
        <w:t>杭州兑吧网络科技有限公司</w:t>
      </w:r>
      <w:r>
        <w:rPr>
          <w:rFonts w:hint="eastAsia" w:ascii="宋体" w:hAnsi="宋体" w:cs="宋体"/>
          <w:b/>
          <w:bCs/>
          <w:sz w:val="24"/>
        </w:rPr>
        <w:t>：</w:t>
      </w:r>
    </w:p>
    <w:p>
      <w:pPr>
        <w:spacing w:line="360" w:lineRule="auto"/>
        <w:ind w:firstLine="400" w:firstLineChars="200"/>
        <w:rPr>
          <w:rFonts w:ascii="宋体" w:hAnsi="宋体" w:cs="宋体"/>
          <w:szCs w:val="21"/>
        </w:rPr>
      </w:pPr>
      <w:r>
        <w:rPr>
          <w:rFonts w:hint="eastAsia" w:ascii="宋体" w:hAnsi="宋体" w:cs="宋体"/>
          <w:szCs w:val="21"/>
        </w:rPr>
        <w:t>本公司（单位）参与贵</w:t>
      </w:r>
      <w:r>
        <w:rPr>
          <w:rFonts w:hint="eastAsia" w:ascii="宋体" w:hAnsi="宋体" w:cs="宋体"/>
          <w:szCs w:val="21"/>
          <w:lang w:val="en-US" w:eastAsia="zh-Hans"/>
        </w:rPr>
        <w:t>公司</w:t>
      </w:r>
      <w:r>
        <w:rPr>
          <w:rFonts w:hint="eastAsia" w:ascii="宋体" w:hAnsi="宋体" w:cs="宋体"/>
          <w:szCs w:val="21"/>
          <w:u w:val="single"/>
        </w:rPr>
        <w:t xml:space="preserve">          （项目名称）            </w:t>
      </w:r>
      <w:r>
        <w:rPr>
          <w:rFonts w:hint="eastAsia" w:ascii="宋体" w:hAnsi="宋体" w:cs="宋体"/>
          <w:szCs w:val="21"/>
        </w:rPr>
        <w:t>投标，严格遵守国家法律法规及行业自律规定，坚持公平、公开、公正、诚实信用的原则，决不做损害双方和第三方的合法利益的行为，特承诺如下：</w:t>
      </w:r>
    </w:p>
    <w:p>
      <w:pPr>
        <w:numPr>
          <w:ilvl w:val="0"/>
          <w:numId w:val="54"/>
        </w:numPr>
        <w:spacing w:line="360" w:lineRule="auto"/>
        <w:ind w:firstLine="400" w:firstLineChars="200"/>
        <w:rPr>
          <w:rFonts w:ascii="宋体" w:hAnsi="宋体" w:cs="宋体"/>
          <w:szCs w:val="21"/>
        </w:rPr>
      </w:pPr>
      <w:r>
        <w:rPr>
          <w:rFonts w:hint="eastAsia" w:ascii="宋体" w:hAnsi="宋体" w:cs="宋体"/>
          <w:szCs w:val="21"/>
        </w:rPr>
        <w:t>客观真实反映自身情况，按要求编写投标文件并保证投标文件及材料真实完整、合法有效,自觉接受投标人（供应商）资质审查；遵守采购评标纪律，不干预、影响评标过程和结果；按规定时间和程序与招标人签订采购合同，并严格履行采购合同。</w:t>
      </w:r>
    </w:p>
    <w:p>
      <w:pPr>
        <w:numPr>
          <w:ilvl w:val="0"/>
          <w:numId w:val="54"/>
        </w:numPr>
        <w:spacing w:line="360" w:lineRule="auto"/>
        <w:ind w:firstLine="400" w:firstLineChars="200"/>
        <w:jc w:val="both"/>
        <w:rPr>
          <w:rFonts w:ascii="宋体" w:hAnsi="宋体" w:cs="宋体"/>
          <w:b/>
          <w:bCs/>
          <w:szCs w:val="21"/>
        </w:rPr>
      </w:pPr>
      <w:r>
        <w:rPr>
          <w:rFonts w:hint="eastAsia" w:ascii="宋体" w:hAnsi="宋体" w:cs="宋体"/>
          <w:b/>
          <w:bCs/>
          <w:szCs w:val="21"/>
        </w:rPr>
        <w:t>截至投标截止日，本公司未被“信用中国”网站（http://www.creditchina.gov.cn）列入失信被执行人、重大税收违法案件当事人名单、政府采购严重违法失信行为记录名单。</w:t>
      </w:r>
    </w:p>
    <w:p>
      <w:pPr>
        <w:numPr>
          <w:ilvl w:val="0"/>
          <w:numId w:val="54"/>
        </w:numPr>
        <w:spacing w:line="360" w:lineRule="auto"/>
        <w:ind w:firstLine="400" w:firstLineChars="200"/>
        <w:rPr>
          <w:rFonts w:ascii="宋体" w:hAnsi="宋体" w:cs="宋体"/>
          <w:b/>
          <w:bCs/>
          <w:szCs w:val="21"/>
        </w:rPr>
      </w:pPr>
      <w:r>
        <w:rPr>
          <w:rFonts w:hint="eastAsia" w:ascii="宋体" w:hAnsi="宋体" w:cs="宋体"/>
          <w:b/>
          <w:bCs/>
          <w:szCs w:val="21"/>
        </w:rPr>
        <w:t>本公司（单位）法定代表人、控股股东或实际控制人与招标人高管人员及使用需求（业务主管）部门、采购管理部门关键岗位人员无夫妻、直系血亲、三代以内旁系血亲或者近姻亲关系。</w:t>
      </w:r>
    </w:p>
    <w:p>
      <w:pPr>
        <w:numPr>
          <w:ilvl w:val="0"/>
          <w:numId w:val="54"/>
        </w:numPr>
        <w:spacing w:line="360" w:lineRule="auto"/>
        <w:ind w:firstLine="400" w:firstLineChars="200"/>
        <w:rPr>
          <w:rFonts w:ascii="宋体" w:hAnsi="宋体" w:cs="宋体"/>
          <w:b/>
          <w:bCs/>
          <w:szCs w:val="21"/>
        </w:rPr>
      </w:pPr>
      <w:r>
        <w:rPr>
          <w:rFonts w:hint="eastAsia" w:ascii="宋体" w:hAnsi="宋体" w:cs="宋体"/>
          <w:b/>
          <w:bCs/>
          <w:szCs w:val="21"/>
        </w:rPr>
        <w:t>与本公司负责人为同一人或者存在控股、管理关系的不同投标人，未同时参加本项目（包件）投标。</w:t>
      </w:r>
    </w:p>
    <w:p>
      <w:pPr>
        <w:numPr>
          <w:ilvl w:val="0"/>
          <w:numId w:val="54"/>
        </w:numPr>
        <w:spacing w:line="360" w:lineRule="auto"/>
        <w:ind w:firstLine="400" w:firstLineChars="200"/>
        <w:rPr>
          <w:rFonts w:ascii="宋体" w:hAnsi="宋体" w:cs="宋体"/>
          <w:szCs w:val="21"/>
        </w:rPr>
      </w:pPr>
      <w:r>
        <w:rPr>
          <w:rFonts w:hint="eastAsia" w:ascii="宋体" w:hAnsi="宋体" w:cs="宋体"/>
          <w:szCs w:val="21"/>
        </w:rPr>
        <w:t>不向招标人高管人员、使用需求（业务主管）部门、采购管理部门关键岗位人员及其亲属行贿或者提供其他不正当利益。</w:t>
      </w:r>
    </w:p>
    <w:p>
      <w:pPr>
        <w:numPr>
          <w:ilvl w:val="0"/>
          <w:numId w:val="54"/>
        </w:numPr>
        <w:spacing w:line="360" w:lineRule="auto"/>
        <w:ind w:firstLine="400" w:firstLineChars="200"/>
        <w:rPr>
          <w:rFonts w:ascii="宋体" w:hAnsi="宋体" w:cs="宋体"/>
          <w:szCs w:val="21"/>
        </w:rPr>
      </w:pPr>
      <w:r>
        <w:rPr>
          <w:rFonts w:hint="eastAsia" w:ascii="宋体" w:hAnsi="宋体" w:cs="宋体"/>
          <w:szCs w:val="21"/>
        </w:rPr>
        <w:t>合法正当参与投标，不串标，不诋毁采购任何一方的名誉或进行虚假恶意投诉，不以其他方式排挤其他投标人。</w:t>
      </w:r>
    </w:p>
    <w:p>
      <w:pPr>
        <w:numPr>
          <w:ilvl w:val="0"/>
          <w:numId w:val="54"/>
        </w:numPr>
        <w:spacing w:line="360" w:lineRule="auto"/>
        <w:ind w:firstLine="400" w:firstLineChars="200"/>
        <w:rPr>
          <w:rFonts w:ascii="宋体" w:hAnsi="宋体" w:cs="宋体"/>
          <w:szCs w:val="21"/>
        </w:rPr>
      </w:pPr>
      <w:r>
        <w:rPr>
          <w:rFonts w:hint="eastAsia" w:ascii="宋体" w:hAnsi="宋体" w:cs="宋体"/>
          <w:szCs w:val="21"/>
        </w:rPr>
        <w:t>本公司（单位）若处于被责令停业、破产状态，处于非正常的营业等状况，及时告知贵行。</w:t>
      </w:r>
    </w:p>
    <w:p>
      <w:pPr>
        <w:spacing w:line="360" w:lineRule="auto"/>
        <w:ind w:firstLine="400" w:firstLineChars="200"/>
        <w:rPr>
          <w:rFonts w:ascii="宋体" w:hAnsi="宋体" w:cs="宋体"/>
          <w:szCs w:val="21"/>
        </w:rPr>
      </w:pPr>
      <w:r>
        <w:rPr>
          <w:rFonts w:hint="eastAsia" w:ascii="宋体" w:hAnsi="宋体" w:cs="宋体"/>
          <w:szCs w:val="21"/>
        </w:rPr>
        <w:t>若违背上述承诺，本公司（单位）将承担由此产生的法律责任，接受</w:t>
      </w:r>
      <w:r>
        <w:rPr>
          <w:rFonts w:hint="default" w:ascii="宋体" w:hAnsi="宋体" w:cs="宋体"/>
          <w:szCs w:val="21"/>
          <w:lang w:eastAsia="zh-Hans"/>
        </w:rPr>
        <w:t>兑吧</w:t>
      </w:r>
      <w:r>
        <w:rPr>
          <w:rFonts w:hint="eastAsia" w:ascii="宋体" w:hAnsi="宋体" w:cs="宋体"/>
          <w:szCs w:val="21"/>
        </w:rPr>
        <w:t>依法依规所做出的处理决定，赔偿因此所造成的</w:t>
      </w:r>
      <w:r>
        <w:rPr>
          <w:rFonts w:hint="default" w:ascii="宋体" w:hAnsi="宋体" w:cs="宋体"/>
          <w:szCs w:val="21"/>
          <w:lang w:eastAsia="zh-Hans"/>
        </w:rPr>
        <w:t>兑吧</w:t>
      </w:r>
      <w:r>
        <w:rPr>
          <w:rFonts w:hint="eastAsia" w:ascii="宋体" w:hAnsi="宋体" w:cs="宋体"/>
          <w:szCs w:val="21"/>
        </w:rPr>
        <w:t>的全部损失。</w:t>
      </w:r>
    </w:p>
    <w:p>
      <w:pPr>
        <w:pStyle w:val="8"/>
        <w:spacing w:before="120" w:line="360" w:lineRule="auto"/>
        <w:rPr>
          <w:sz w:val="21"/>
          <w:szCs w:val="18"/>
        </w:rPr>
      </w:pPr>
      <w:r>
        <w:rPr>
          <w:rFonts w:hint="eastAsia"/>
          <w:sz w:val="21"/>
          <w:szCs w:val="18"/>
        </w:rPr>
        <w:t>投标人名称（公章）：</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p>
    <w:p>
      <w:pPr>
        <w:spacing w:line="360" w:lineRule="auto"/>
        <w:rPr>
          <w:szCs w:val="21"/>
        </w:rPr>
      </w:pPr>
    </w:p>
    <w:p>
      <w:pPr>
        <w:spacing w:line="360" w:lineRule="auto"/>
        <w:rPr>
          <w:szCs w:val="21"/>
          <w:u w:val="single"/>
        </w:rPr>
      </w:pPr>
      <w:r>
        <w:rPr>
          <w:rFonts w:hint="eastAsia"/>
          <w:szCs w:val="21"/>
        </w:rPr>
        <w:t>授权代理人（签字）：</w:t>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line="360" w:lineRule="auto"/>
        <w:rPr>
          <w:szCs w:val="21"/>
          <w:u w:val="single"/>
        </w:rPr>
      </w:pPr>
    </w:p>
    <w:p>
      <w:pPr>
        <w:spacing w:line="360" w:lineRule="auto"/>
        <w:rPr>
          <w:szCs w:val="21"/>
          <w:u w:val="single"/>
        </w:rPr>
      </w:pPr>
      <w:r>
        <w:rPr>
          <w:rFonts w:hint="eastAsia"/>
        </w:rPr>
        <w:t>日期：</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beforeAutospacing="1" w:line="360" w:lineRule="auto"/>
        <w:rPr>
          <w:rFonts w:ascii="宋体" w:hAnsi="宋体" w:cs="宋体"/>
        </w:rPr>
        <w:sectPr>
          <w:pgSz w:w="11907" w:h="16840"/>
          <w:pgMar w:top="1440" w:right="1803" w:bottom="1440" w:left="1803" w:header="851" w:footer="1134" w:gutter="0"/>
          <w:cols w:space="720" w:num="1"/>
          <w:docGrid w:type="lines" w:linePitch="290" w:charSpace="0"/>
        </w:sectPr>
      </w:pPr>
    </w:p>
    <w:p>
      <w:pPr>
        <w:pStyle w:val="4"/>
        <w:numPr>
          <w:ilvl w:val="1"/>
          <w:numId w:val="53"/>
        </w:numPr>
        <w:adjustRightInd/>
        <w:spacing w:before="260" w:after="260" w:line="412" w:lineRule="auto"/>
        <w:ind w:left="575"/>
        <w:jc w:val="both"/>
        <w:textAlignment w:val="auto"/>
      </w:pPr>
      <w:bookmarkStart w:id="13" w:name="_Toc30333953"/>
      <w:bookmarkStart w:id="14" w:name="_Toc20866"/>
      <w:bookmarkStart w:id="15" w:name="_Toc10229"/>
      <w:r>
        <w:rPr>
          <w:rFonts w:hint="eastAsia"/>
        </w:rPr>
        <w:t>信用中国网站截图</w:t>
      </w:r>
      <w:bookmarkEnd w:id="13"/>
      <w:bookmarkEnd w:id="14"/>
      <w:bookmarkEnd w:id="15"/>
    </w:p>
    <w:p>
      <w:pPr>
        <w:spacing w:after="312" w:afterLines="100" w:line="360" w:lineRule="auto"/>
        <w:jc w:val="center"/>
        <w:rPr>
          <w:rFonts w:ascii="宋体" w:hAnsi="宋体" w:cs="宋体"/>
          <w:b/>
          <w:bCs/>
          <w:sz w:val="32"/>
          <w:szCs w:val="32"/>
        </w:rPr>
      </w:pPr>
      <w:r>
        <w:rPr>
          <w:rFonts w:hint="eastAsia" w:ascii="宋体" w:hAnsi="宋体" w:cs="宋体"/>
          <w:b/>
          <w:bCs/>
          <w:sz w:val="32"/>
          <w:szCs w:val="32"/>
        </w:rPr>
        <w:t>信用中国网站截图</w:t>
      </w:r>
    </w:p>
    <w:p>
      <w:pPr>
        <w:spacing w:line="360" w:lineRule="auto"/>
        <w:rPr>
          <w:rFonts w:ascii="Calibri" w:hAnsi="Calibri"/>
          <w:b/>
          <w:bCs/>
          <w:szCs w:val="24"/>
        </w:rPr>
      </w:pPr>
    </w:p>
    <w:p>
      <w:pPr>
        <w:spacing w:line="360" w:lineRule="auto"/>
        <w:rPr>
          <w:b/>
          <w:bCs/>
        </w:rPr>
      </w:pPr>
      <w:r>
        <w:rPr>
          <w:rFonts w:hint="eastAsia"/>
          <w:b/>
          <w:bCs/>
        </w:rPr>
        <w:t>注：投标人将“信用中国”网站（</w:t>
      </w:r>
      <w:r>
        <w:rPr>
          <w:rFonts w:hint="eastAsia" w:ascii="宋体" w:hAnsi="宋体" w:cs="宋体"/>
          <w:b/>
          <w:bCs/>
          <w:szCs w:val="21"/>
        </w:rPr>
        <w:t>http://www.creditchina.gov.cn</w:t>
      </w:r>
      <w:r>
        <w:rPr>
          <w:rFonts w:hint="eastAsia"/>
          <w:b/>
          <w:bCs/>
        </w:rPr>
        <w:t>）截图</w:t>
      </w:r>
      <w:r>
        <w:rPr>
          <w:rFonts w:hint="eastAsia" w:ascii="宋体" w:hAnsi="宋体" w:cs="宋体"/>
          <w:b/>
          <w:bCs/>
        </w:rPr>
        <w:t>附</w:t>
      </w:r>
      <w:r>
        <w:rPr>
          <w:rFonts w:hint="eastAsia"/>
          <w:b/>
          <w:bCs/>
        </w:rPr>
        <w:t>在此处，并加盖公章。截图应能清晰显示投标人名称、查询结果。</w:t>
      </w:r>
    </w:p>
    <w:p>
      <w:pPr>
        <w:spacing w:line="360" w:lineRule="auto"/>
        <w:rPr>
          <w:b/>
          <w:bCs/>
        </w:rPr>
      </w:pPr>
    </w:p>
    <w:p>
      <w:pPr>
        <w:pStyle w:val="8"/>
        <w:spacing w:before="120" w:line="360" w:lineRule="auto"/>
        <w:rPr>
          <w:szCs w:val="21"/>
        </w:rPr>
      </w:pPr>
      <w:r>
        <w:rPr>
          <w:rFonts w:hint="eastAsia"/>
          <w:szCs w:val="21"/>
        </w:rPr>
        <w:t>查询截图示例（以查询“</w:t>
      </w:r>
      <w:r>
        <w:rPr>
          <w:rFonts w:hint="eastAsia"/>
          <w:szCs w:val="21"/>
          <w:lang w:eastAsia="zh-Hans"/>
        </w:rPr>
        <w:t>杭州兑吧网络科技有限公司</w:t>
      </w:r>
      <w:r>
        <w:rPr>
          <w:rFonts w:hint="eastAsia"/>
          <w:szCs w:val="21"/>
        </w:rPr>
        <w:t>”为例）：</w:t>
      </w:r>
    </w:p>
    <w:p>
      <w:pPr>
        <w:spacing w:line="360" w:lineRule="auto"/>
        <w:rPr>
          <w:szCs w:val="21"/>
        </w:rPr>
      </w:pPr>
      <w:r>
        <w:rPr>
          <w:szCs w:val="21"/>
        </w:rPr>
        <w:t xml:space="preserve">1. </w:t>
      </w:r>
      <w:r>
        <w:rPr>
          <w:rFonts w:hint="eastAsia"/>
          <w:szCs w:val="21"/>
        </w:rPr>
        <w:t>未被列入失信被执行人查询截图：</w:t>
      </w:r>
    </w:p>
    <w:p>
      <w:pPr>
        <w:pStyle w:val="8"/>
        <w:spacing w:before="120" w:line="360" w:lineRule="auto"/>
        <w:rPr>
          <w:szCs w:val="21"/>
          <w:u w:val="single"/>
        </w:rPr>
      </w:pPr>
      <w:r>
        <w:drawing>
          <wp:inline distT="0" distB="0" distL="114300" distR="114300">
            <wp:extent cx="5057775" cy="4272280"/>
            <wp:effectExtent l="0" t="0" r="22225" b="203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057775" cy="4272280"/>
                    </a:xfrm>
                    <a:prstGeom prst="rect">
                      <a:avLst/>
                    </a:prstGeom>
                    <a:noFill/>
                    <a:ln w="9525">
                      <a:noFill/>
                    </a:ln>
                  </pic:spPr>
                </pic:pic>
              </a:graphicData>
            </a:graphic>
          </wp:inline>
        </w:drawing>
      </w:r>
    </w:p>
    <w:p>
      <w:pPr>
        <w:spacing w:line="360" w:lineRule="auto"/>
        <w:rPr>
          <w:szCs w:val="21"/>
        </w:rPr>
      </w:pPr>
      <w:r>
        <w:rPr>
          <w:szCs w:val="21"/>
        </w:rPr>
        <w:br w:type="page"/>
      </w:r>
    </w:p>
    <w:p>
      <w:pPr>
        <w:spacing w:line="360" w:lineRule="auto"/>
        <w:rPr>
          <w:szCs w:val="21"/>
        </w:rPr>
      </w:pPr>
      <w:r>
        <w:rPr>
          <w:szCs w:val="21"/>
        </w:rPr>
        <w:t>2.</w:t>
      </w:r>
      <w:r>
        <w:rPr>
          <w:rFonts w:hint="eastAsia"/>
          <w:szCs w:val="21"/>
        </w:rPr>
        <w:t>未被列入重大税收违法案件当事人名单查询截图：</w:t>
      </w:r>
    </w:p>
    <w:p>
      <w:pPr>
        <w:pStyle w:val="8"/>
        <w:spacing w:before="120" w:line="360" w:lineRule="auto"/>
        <w:rPr>
          <w:szCs w:val="21"/>
          <w:u w:val="single"/>
        </w:rPr>
      </w:pPr>
      <w:r>
        <w:drawing>
          <wp:inline distT="0" distB="0" distL="114300" distR="114300">
            <wp:extent cx="4390390" cy="3815715"/>
            <wp:effectExtent l="0" t="0" r="3810" b="196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4390390" cy="3815715"/>
                    </a:xfrm>
                    <a:prstGeom prst="rect">
                      <a:avLst/>
                    </a:prstGeom>
                    <a:noFill/>
                    <a:ln w="9525">
                      <a:noFill/>
                    </a:ln>
                  </pic:spPr>
                </pic:pic>
              </a:graphicData>
            </a:graphic>
          </wp:inline>
        </w:drawing>
      </w:r>
    </w:p>
    <w:p>
      <w:pPr>
        <w:spacing w:line="360" w:lineRule="auto"/>
        <w:rPr>
          <w:szCs w:val="21"/>
        </w:rPr>
      </w:pPr>
      <w:r>
        <w:rPr>
          <w:szCs w:val="21"/>
        </w:rPr>
        <w:t xml:space="preserve">3. </w:t>
      </w:r>
      <w:r>
        <w:rPr>
          <w:rFonts w:hint="eastAsia"/>
          <w:szCs w:val="21"/>
        </w:rPr>
        <w:t>未被列入政府采购严重违法失信行为记录名单查询截图</w:t>
      </w:r>
    </w:p>
    <w:p>
      <w:pPr>
        <w:spacing w:line="360" w:lineRule="auto"/>
        <w:rPr>
          <w:szCs w:val="21"/>
        </w:rPr>
      </w:pPr>
      <w:r>
        <w:rPr>
          <w:rFonts w:hint="eastAsia"/>
          <w:szCs w:val="21"/>
        </w:rPr>
        <w:t>备注：如查询政府采购严重违法失信行为记录名单查询截图时，无法查询到上述截图，可直接从</w:t>
      </w:r>
      <w:r>
        <w:rPr>
          <w:szCs w:val="21"/>
        </w:rPr>
        <w:t>“</w:t>
      </w:r>
      <w:r>
        <w:rPr>
          <w:rFonts w:hint="eastAsia"/>
          <w:szCs w:val="21"/>
        </w:rPr>
        <w:t>信用中国</w:t>
      </w:r>
      <w:r>
        <w:rPr>
          <w:szCs w:val="21"/>
        </w:rPr>
        <w:t>”</w:t>
      </w:r>
      <w:r>
        <w:rPr>
          <w:rFonts w:hint="eastAsia"/>
          <w:szCs w:val="21"/>
        </w:rPr>
        <w:t>网站下载投标人的</w:t>
      </w:r>
      <w:r>
        <w:rPr>
          <w:szCs w:val="21"/>
        </w:rPr>
        <w:t>“</w:t>
      </w:r>
      <w:r>
        <w:rPr>
          <w:rFonts w:hint="eastAsia"/>
          <w:szCs w:val="21"/>
        </w:rPr>
        <w:t>信用信息</w:t>
      </w:r>
      <w:r>
        <w:rPr>
          <w:szCs w:val="21"/>
        </w:rPr>
        <w:t>”</w:t>
      </w:r>
      <w:r>
        <w:rPr>
          <w:rFonts w:hint="eastAsia"/>
          <w:szCs w:val="21"/>
        </w:rPr>
        <w:t>报告，如下图：</w:t>
      </w:r>
    </w:p>
    <w:p>
      <w:pPr>
        <w:pStyle w:val="8"/>
        <w:spacing w:before="120" w:line="360" w:lineRule="auto"/>
        <w:rPr>
          <w:b/>
          <w:bCs/>
        </w:rPr>
        <w:sectPr>
          <w:pgSz w:w="11906" w:h="16838"/>
          <w:pgMar w:top="1440" w:right="1800" w:bottom="1440" w:left="1800" w:header="851" w:footer="992" w:gutter="0"/>
          <w:cols w:space="720" w:num="1"/>
          <w:docGrid w:type="lines" w:linePitch="312" w:charSpace="0"/>
        </w:sectPr>
      </w:pPr>
      <w:r>
        <w:drawing>
          <wp:inline distT="0" distB="0" distL="114300" distR="114300">
            <wp:extent cx="4467860" cy="2978785"/>
            <wp:effectExtent l="0" t="0" r="2540"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4467860" cy="2978785"/>
                    </a:xfrm>
                    <a:prstGeom prst="rect">
                      <a:avLst/>
                    </a:prstGeom>
                    <a:noFill/>
                    <a:ln w="9525">
                      <a:noFill/>
                    </a:ln>
                  </pic:spPr>
                </pic:pic>
              </a:graphicData>
            </a:graphic>
          </wp:inline>
        </w:drawing>
      </w:r>
    </w:p>
    <w:p>
      <w:pPr>
        <w:pStyle w:val="4"/>
        <w:numPr>
          <w:ilvl w:val="1"/>
          <w:numId w:val="53"/>
        </w:numPr>
        <w:adjustRightInd/>
        <w:spacing w:before="260" w:after="260" w:line="412" w:lineRule="auto"/>
        <w:ind w:left="575"/>
        <w:jc w:val="both"/>
        <w:textAlignment w:val="auto"/>
      </w:pPr>
      <w:bookmarkStart w:id="16" w:name="_Toc5677"/>
      <w:r>
        <w:rPr>
          <w:rFonts w:hint="eastAsia"/>
        </w:rPr>
        <w:t>资质认证</w:t>
      </w:r>
      <w:bookmarkEnd w:id="16"/>
    </w:p>
    <w:p>
      <w:pPr>
        <w:spacing w:line="360" w:lineRule="auto"/>
        <w:rPr>
          <w:rFonts w:ascii="宋体" w:hAnsi="宋体" w:cs="宋体"/>
        </w:rPr>
      </w:pPr>
      <w:r>
        <w:rPr>
          <w:rFonts w:hint="eastAsia" w:ascii="宋体" w:hAnsi="宋体" w:cs="宋体"/>
          <w:b/>
          <w:bCs/>
        </w:rPr>
        <w:t>注：投标人根据招标文件合格投标人基本资质要求和</w:t>
      </w:r>
      <w:r>
        <w:rPr>
          <w:rFonts w:hint="eastAsia" w:ascii="宋体" w:hAnsi="宋体" w:cs="宋体"/>
          <w:b/>
          <w:bCs/>
          <w:sz w:val="21"/>
          <w:szCs w:val="21"/>
        </w:rPr>
        <w:t>《评标办法》的评审内容</w:t>
      </w:r>
      <w:r>
        <w:rPr>
          <w:rFonts w:hint="eastAsia" w:ascii="宋体" w:hAnsi="宋体" w:cs="宋体"/>
          <w:b/>
          <w:bCs/>
        </w:rPr>
        <w:t>，提供相应资质认证复印件，并加盖公章。如招标文件合格投标人基本资质条件和</w:t>
      </w:r>
      <w:r>
        <w:rPr>
          <w:rFonts w:hint="eastAsia" w:ascii="宋体" w:hAnsi="宋体" w:cs="宋体"/>
          <w:b/>
          <w:bCs/>
          <w:sz w:val="21"/>
          <w:szCs w:val="21"/>
        </w:rPr>
        <w:t>《评标办法》</w:t>
      </w:r>
      <w:r>
        <w:rPr>
          <w:rFonts w:hint="eastAsia" w:ascii="宋体" w:hAnsi="宋体" w:cs="宋体"/>
          <w:b/>
          <w:bCs/>
        </w:rPr>
        <w:t>中未要求相关资质认证，则可不提供。</w:t>
      </w:r>
    </w:p>
    <w:p>
      <w:pPr>
        <w:pStyle w:val="5"/>
        <w:numPr>
          <w:ilvl w:val="2"/>
          <w:numId w:val="53"/>
        </w:numPr>
        <w:tabs>
          <w:tab w:val="left" w:pos="420"/>
          <w:tab w:val="left" w:pos="1555"/>
        </w:tabs>
        <w:ind w:left="720"/>
        <w:rPr>
          <w:sz w:val="30"/>
          <w:szCs w:val="30"/>
        </w:rPr>
      </w:pPr>
      <w:bookmarkStart w:id="17" w:name="_Toc6378"/>
      <w:bookmarkStart w:id="18" w:name="_Toc31459"/>
      <w:bookmarkStart w:id="19" w:name="_Toc33704695"/>
      <w:r>
        <w:rPr>
          <w:rFonts w:hint="eastAsia"/>
          <w:sz w:val="30"/>
          <w:szCs w:val="30"/>
        </w:rPr>
        <w:t>资质证书列表</w:t>
      </w:r>
      <w:bookmarkEnd w:id="17"/>
      <w:bookmarkEnd w:id="18"/>
      <w:bookmarkEnd w:id="19"/>
    </w:p>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00"/>
        <w:gridCol w:w="2535"/>
        <w:gridCol w:w="168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790" w:type="dxa"/>
            <w:vAlign w:val="center"/>
          </w:tcPr>
          <w:p>
            <w:pPr>
              <w:pStyle w:val="10"/>
              <w:jc w:val="center"/>
              <w:rPr>
                <w:rFonts w:ascii="黑体" w:hAnsi="黑体" w:eastAsia="黑体" w:cs="黑体"/>
                <w:sz w:val="24"/>
              </w:rPr>
            </w:pPr>
            <w:r>
              <w:rPr>
                <w:rFonts w:hint="eastAsia" w:ascii="黑体" w:hAnsi="黑体" w:eastAsia="黑体" w:cs="黑体"/>
                <w:sz w:val="24"/>
              </w:rPr>
              <w:t>序号</w:t>
            </w:r>
          </w:p>
        </w:tc>
        <w:tc>
          <w:tcPr>
            <w:tcW w:w="2100" w:type="dxa"/>
            <w:vAlign w:val="center"/>
          </w:tcPr>
          <w:p>
            <w:pPr>
              <w:pStyle w:val="10"/>
              <w:jc w:val="center"/>
              <w:rPr>
                <w:rFonts w:ascii="黑体" w:hAnsi="黑体" w:eastAsia="黑体" w:cs="黑体"/>
                <w:sz w:val="24"/>
              </w:rPr>
            </w:pPr>
            <w:r>
              <w:rPr>
                <w:rFonts w:hint="eastAsia" w:ascii="黑体" w:hAnsi="黑体" w:eastAsia="黑体" w:cs="黑体"/>
                <w:sz w:val="24"/>
              </w:rPr>
              <w:t>资质证书名称</w:t>
            </w:r>
          </w:p>
        </w:tc>
        <w:tc>
          <w:tcPr>
            <w:tcW w:w="2535" w:type="dxa"/>
            <w:vAlign w:val="center"/>
          </w:tcPr>
          <w:p>
            <w:pPr>
              <w:pStyle w:val="10"/>
              <w:jc w:val="center"/>
              <w:rPr>
                <w:rFonts w:ascii="黑体" w:hAnsi="黑体" w:eastAsia="黑体" w:cs="黑体"/>
                <w:sz w:val="24"/>
              </w:rPr>
            </w:pPr>
            <w:r>
              <w:rPr>
                <w:rFonts w:hint="eastAsia" w:ascii="黑体" w:hAnsi="黑体" w:eastAsia="黑体" w:cs="黑体"/>
                <w:sz w:val="24"/>
              </w:rPr>
              <w:t>认证范围</w:t>
            </w:r>
          </w:p>
        </w:tc>
        <w:tc>
          <w:tcPr>
            <w:tcW w:w="1680" w:type="dxa"/>
            <w:vAlign w:val="center"/>
          </w:tcPr>
          <w:p>
            <w:pPr>
              <w:pStyle w:val="10"/>
              <w:jc w:val="center"/>
              <w:rPr>
                <w:rFonts w:ascii="黑体" w:hAnsi="黑体" w:eastAsia="黑体" w:cs="黑体"/>
                <w:sz w:val="24"/>
              </w:rPr>
            </w:pPr>
            <w:r>
              <w:rPr>
                <w:rFonts w:hint="eastAsia" w:ascii="黑体" w:hAnsi="黑体" w:eastAsia="黑体" w:cs="黑体"/>
                <w:sz w:val="24"/>
              </w:rPr>
              <w:t>颁发机构</w:t>
            </w:r>
          </w:p>
        </w:tc>
        <w:tc>
          <w:tcPr>
            <w:tcW w:w="1414" w:type="dxa"/>
            <w:vAlign w:val="center"/>
          </w:tcPr>
          <w:p>
            <w:pPr>
              <w:pStyle w:val="10"/>
              <w:jc w:val="center"/>
              <w:rPr>
                <w:rFonts w:ascii="黑体" w:hAnsi="黑体" w:eastAsia="黑体" w:cs="黑体"/>
                <w:sz w:val="24"/>
              </w:rPr>
            </w:pPr>
            <w:r>
              <w:rPr>
                <w:rFonts w:hint="eastAsia" w:ascii="黑体" w:hAnsi="黑体" w:eastAsia="黑体" w:cs="黑体"/>
                <w:sz w:val="24"/>
              </w:rPr>
              <w:t>有效期</w:t>
            </w:r>
          </w:p>
        </w:tc>
      </w:tr>
      <w:tr>
        <w:trPr>
          <w:trHeight w:val="482" w:hRule="atLeast"/>
        </w:trPr>
        <w:tc>
          <w:tcPr>
            <w:tcW w:w="790" w:type="dxa"/>
            <w:vAlign w:val="center"/>
          </w:tcPr>
          <w:p>
            <w:pPr>
              <w:pStyle w:val="10"/>
              <w:jc w:val="center"/>
              <w:rPr>
                <w:rFonts w:ascii="宋体" w:cs="宋体"/>
              </w:rPr>
            </w:pPr>
            <w:r>
              <w:rPr>
                <w:rFonts w:hint="eastAsia" w:ascii="宋体" w:cs="宋体"/>
              </w:rPr>
              <w:t>1</w:t>
            </w:r>
          </w:p>
        </w:tc>
        <w:tc>
          <w:tcPr>
            <w:tcW w:w="2100" w:type="dxa"/>
            <w:vAlign w:val="center"/>
          </w:tcPr>
          <w:p>
            <w:pPr>
              <w:pStyle w:val="10"/>
              <w:jc w:val="center"/>
            </w:pPr>
          </w:p>
        </w:tc>
        <w:tc>
          <w:tcPr>
            <w:tcW w:w="2535" w:type="dxa"/>
            <w:vAlign w:val="center"/>
          </w:tcPr>
          <w:p>
            <w:pPr>
              <w:pStyle w:val="10"/>
              <w:jc w:val="center"/>
            </w:pPr>
          </w:p>
        </w:tc>
        <w:tc>
          <w:tcPr>
            <w:tcW w:w="1680" w:type="dxa"/>
            <w:vAlign w:val="center"/>
          </w:tcPr>
          <w:p>
            <w:pPr>
              <w:pStyle w:val="10"/>
              <w:jc w:val="center"/>
            </w:pPr>
          </w:p>
        </w:tc>
        <w:tc>
          <w:tcPr>
            <w:tcW w:w="1414" w:type="dxa"/>
            <w:vAlign w:val="center"/>
          </w:tcPr>
          <w:p>
            <w:pPr>
              <w:pStyle w:val="10"/>
              <w:jc w:val="center"/>
            </w:pPr>
          </w:p>
        </w:tc>
      </w:tr>
    </w:tbl>
    <w:p>
      <w:pPr>
        <w:pStyle w:val="10"/>
      </w:pPr>
    </w:p>
    <w:p>
      <w:pPr>
        <w:pStyle w:val="5"/>
        <w:numPr>
          <w:ilvl w:val="2"/>
          <w:numId w:val="53"/>
        </w:numPr>
        <w:tabs>
          <w:tab w:val="left" w:pos="420"/>
          <w:tab w:val="left" w:pos="1555"/>
        </w:tabs>
        <w:ind w:left="720"/>
        <w:rPr>
          <w:sz w:val="30"/>
          <w:szCs w:val="30"/>
        </w:rPr>
      </w:pPr>
      <w:bookmarkStart w:id="20" w:name="_Toc33704696"/>
      <w:bookmarkStart w:id="21" w:name="_Toc5794"/>
      <w:bookmarkStart w:id="22" w:name="_Toc29676"/>
      <w:r>
        <w:rPr>
          <w:rFonts w:hint="eastAsia"/>
          <w:sz w:val="30"/>
          <w:szCs w:val="30"/>
        </w:rPr>
        <w:t>资质证书复印件</w:t>
      </w:r>
      <w:bookmarkEnd w:id="20"/>
      <w:bookmarkEnd w:id="21"/>
      <w:bookmarkEnd w:id="22"/>
    </w:p>
    <w:p>
      <w:pPr>
        <w:spacing w:line="360" w:lineRule="auto"/>
        <w:rPr>
          <w:rFonts w:ascii="宋体" w:hAnsi="宋体" w:cs="宋体"/>
          <w:b/>
          <w:bCs/>
        </w:rPr>
      </w:pPr>
      <w:r>
        <w:rPr>
          <w:rFonts w:hint="eastAsia" w:ascii="宋体" w:hAnsi="宋体" w:cs="宋体"/>
          <w:b/>
          <w:bCs/>
        </w:rPr>
        <w:t>投标人按照上表顺序，提供相关资质认证复印件，并加盖公章。复印件应能清晰显示投标人/原厂商名称、有效期等关键信息。</w:t>
      </w:r>
    </w:p>
    <w:p>
      <w:pPr>
        <w:pStyle w:val="6"/>
        <w:numPr>
          <w:ilvl w:val="3"/>
          <w:numId w:val="53"/>
        </w:numPr>
        <w:ind w:left="864"/>
        <w:rPr>
          <w:rFonts w:ascii="宋体" w:hAnsi="宋体" w:cs="宋体"/>
        </w:rPr>
      </w:pPr>
      <w:r>
        <w:rPr>
          <w:rFonts w:hint="eastAsia" w:ascii="宋体" w:hAnsi="宋体" w:cs="宋体"/>
        </w:rPr>
        <w:t>（示例）（资质证书1名称）</w:t>
      </w:r>
    </w:p>
    <w:p>
      <w:pPr>
        <w:rPr>
          <w:rFonts w:ascii="宋体" w:hAnsi="宋体"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4"/>
        <w:numPr>
          <w:ilvl w:val="1"/>
          <w:numId w:val="53"/>
        </w:numPr>
        <w:adjustRightInd/>
        <w:spacing w:before="260" w:after="260" w:line="412" w:lineRule="auto"/>
        <w:ind w:left="575"/>
        <w:jc w:val="both"/>
        <w:textAlignment w:val="auto"/>
      </w:pPr>
      <w:bookmarkStart w:id="23" w:name="_Toc25373"/>
      <w:bookmarkStart w:id="24" w:name="_Toc30333957"/>
      <w:bookmarkStart w:id="25" w:name="_Toc13192"/>
      <w:r>
        <w:rPr>
          <w:rFonts w:hint="eastAsia"/>
        </w:rPr>
        <w:t>业绩案例</w:t>
      </w:r>
      <w:bookmarkEnd w:id="23"/>
      <w:bookmarkEnd w:id="24"/>
      <w:bookmarkEnd w:id="25"/>
    </w:p>
    <w:p>
      <w:pPr>
        <w:spacing w:line="360" w:lineRule="auto"/>
      </w:pPr>
      <w:bookmarkStart w:id="26" w:name="_Toc30333958"/>
      <w:bookmarkStart w:id="27" w:name="_Toc26302"/>
      <w:r>
        <w:rPr>
          <w:rFonts w:hint="eastAsia" w:ascii="宋体" w:hAnsi="宋体" w:cs="宋体"/>
          <w:b/>
          <w:bCs/>
        </w:rPr>
        <w:t>注：投标人根据招标文件合格投标人基本资质要求和</w:t>
      </w:r>
      <w:r>
        <w:rPr>
          <w:rFonts w:hint="eastAsia" w:ascii="宋体" w:hAnsi="宋体" w:cs="宋体"/>
          <w:b/>
          <w:bCs/>
          <w:sz w:val="21"/>
          <w:szCs w:val="21"/>
        </w:rPr>
        <w:t>《评标办法》的评审内容</w:t>
      </w:r>
      <w:r>
        <w:rPr>
          <w:rFonts w:hint="eastAsia" w:ascii="宋体" w:hAnsi="宋体" w:cs="宋体"/>
          <w:b/>
          <w:bCs/>
        </w:rPr>
        <w:t>，提供相应业绩案例。如招标文件合格投标人基本资质条件和</w:t>
      </w:r>
      <w:r>
        <w:rPr>
          <w:rFonts w:hint="eastAsia" w:ascii="宋体" w:hAnsi="宋体" w:cs="宋体"/>
          <w:b/>
          <w:bCs/>
          <w:sz w:val="21"/>
          <w:szCs w:val="21"/>
        </w:rPr>
        <w:t>《评标办法》</w:t>
      </w:r>
      <w:r>
        <w:rPr>
          <w:rFonts w:hint="eastAsia" w:ascii="宋体" w:hAnsi="宋体" w:cs="宋体"/>
          <w:b/>
          <w:bCs/>
        </w:rPr>
        <w:t>中未要求相关业绩案例，则可不提供。</w:t>
      </w:r>
    </w:p>
    <w:p>
      <w:pPr>
        <w:pStyle w:val="5"/>
        <w:numPr>
          <w:ilvl w:val="2"/>
          <w:numId w:val="53"/>
        </w:numPr>
        <w:tabs>
          <w:tab w:val="left" w:pos="420"/>
          <w:tab w:val="left" w:pos="1555"/>
        </w:tabs>
        <w:ind w:left="720"/>
      </w:pPr>
      <w:bookmarkStart w:id="28" w:name="_Toc26228"/>
      <w:r>
        <w:rPr>
          <w:rFonts w:hint="eastAsia"/>
        </w:rPr>
        <w:t>业绩案例列表</w:t>
      </w:r>
      <w:bookmarkEnd w:id="26"/>
      <w:bookmarkEnd w:id="27"/>
      <w:bookmarkEnd w:id="28"/>
    </w:p>
    <w:p>
      <w:pPr>
        <w:pStyle w:val="10"/>
        <w:widowControl w:val="0"/>
        <w:spacing w:line="360" w:lineRule="auto"/>
        <w:jc w:val="both"/>
        <w:rPr>
          <w:rFonts w:ascii="宋体" w:cs="宋体"/>
          <w:b/>
          <w:sz w:val="21"/>
          <w:szCs w:val="21"/>
        </w:rPr>
      </w:pPr>
      <w:r>
        <w:rPr>
          <w:rFonts w:hint="eastAsia" w:ascii="宋体" w:eastAsia="宋体" w:cs="宋体"/>
          <w:sz w:val="21"/>
          <w:szCs w:val="21"/>
        </w:rPr>
        <w:t xml:space="preserve">    </w:t>
      </w:r>
      <w:r>
        <w:rPr>
          <w:rFonts w:ascii="宋体" w:eastAsia="宋体" w:cs="宋体"/>
          <w:sz w:val="21"/>
          <w:szCs w:val="21"/>
        </w:rPr>
        <w:t>2</w:t>
      </w:r>
      <w:r>
        <w:rPr>
          <w:rFonts w:ascii="宋体" w:eastAsia="宋体" w:cs="宋体"/>
          <w:sz w:val="21"/>
        </w:rPr>
        <w:t>018年1月1日至投标截止日，投标人具有银行、品牌零售、互联网企业积分兑换或奖品供应合作案例（以合同签订时间为准，并提供合同的复印件或用户证明材料</w:t>
      </w:r>
      <w:r>
        <w:rPr>
          <w:rFonts w:hint="eastAsia" w:ascii="宋体" w:eastAsia="宋体" w:cs="宋体"/>
          <w:sz w:val="21"/>
          <w:lang w:eastAsia="zh-Hans"/>
        </w:rPr>
        <w:t>，</w:t>
      </w:r>
      <w:r>
        <w:rPr>
          <w:rFonts w:hint="eastAsia" w:ascii="宋体" w:eastAsia="宋体" w:cs="宋体"/>
          <w:sz w:val="21"/>
          <w:szCs w:val="21"/>
        </w:rPr>
        <w:t>最多提供10个，根据与本项目内容与规模的相似性及匹配度打分）</w:t>
      </w:r>
      <w:r>
        <w:rPr>
          <w:rFonts w:ascii="Times New Roman" w:hAnsi="Times New Roman" w:eastAsia="宋体" w:cs="Times New Roman"/>
          <w:sz w:val="21"/>
          <w:szCs w:val="21"/>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10"/>
        <w:gridCol w:w="1120"/>
        <w:gridCol w:w="2116"/>
        <w:gridCol w:w="849"/>
        <w:gridCol w:w="1105"/>
        <w:gridCol w:w="73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项目名称</w:t>
            </w: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合同签订时间</w:t>
            </w: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合同主要内容</w:t>
            </w: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甲方单位名称</w:t>
            </w: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甲方单位</w:t>
            </w:r>
          </w:p>
          <w:p>
            <w:pPr>
              <w:pStyle w:val="9"/>
              <w:jc w:val="center"/>
              <w:rPr>
                <w:rFonts w:hAnsi="宋体"/>
                <w:b/>
                <w:szCs w:val="21"/>
              </w:rPr>
            </w:pPr>
            <w:r>
              <w:rPr>
                <w:rFonts w:hint="eastAsia" w:hAnsi="宋体"/>
                <w:b/>
                <w:szCs w:val="21"/>
              </w:rPr>
              <w:t>联系人</w:t>
            </w: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联系电话</w:t>
            </w: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证明文件</w:t>
            </w:r>
          </w:p>
          <w:p>
            <w:pPr>
              <w:pStyle w:val="9"/>
              <w:jc w:val="center"/>
              <w:rPr>
                <w:rFonts w:hAnsi="宋体"/>
                <w:b/>
                <w:szCs w:val="21"/>
              </w:rPr>
            </w:pPr>
            <w:r>
              <w:rPr>
                <w:rFonts w:hint="eastAsia" w:hAnsi="宋体"/>
                <w:b/>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2</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b/>
                <w:szCs w:val="21"/>
              </w:rPr>
              <w:t>4</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5</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6</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7</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8</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9</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jc w:val="center"/>
              <w:rPr>
                <w:b/>
                <w:szCs w:val="21"/>
              </w:rPr>
            </w:pPr>
            <w:r>
              <w:rPr>
                <w:rFonts w:hint="eastAsia"/>
                <w:b/>
                <w:szCs w:val="21"/>
              </w:rPr>
              <w:t>10</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p>
        </w:tc>
      </w:tr>
    </w:tbl>
    <w:p>
      <w:pPr>
        <w:pStyle w:val="10"/>
        <w:widowControl w:val="0"/>
        <w:spacing w:line="360" w:lineRule="auto"/>
        <w:ind w:firstLine="420" w:firstLineChars="200"/>
        <w:jc w:val="both"/>
        <w:rPr>
          <w:rFonts w:ascii="宋体" w:eastAsia="宋体" w:cs="宋体"/>
          <w:sz w:val="21"/>
          <w:szCs w:val="21"/>
        </w:rPr>
      </w:pPr>
    </w:p>
    <w:p>
      <w:pPr>
        <w:pStyle w:val="8"/>
        <w:spacing w:before="120" w:line="360" w:lineRule="auto"/>
        <w:rPr>
          <w:kern w:val="2"/>
          <w:sz w:val="18"/>
          <w:szCs w:val="18"/>
        </w:rPr>
      </w:pPr>
      <w:r>
        <w:rPr>
          <w:rFonts w:hint="eastAsia"/>
          <w:sz w:val="21"/>
          <w:szCs w:val="18"/>
        </w:rPr>
        <w:t>投标人名称（公章）：</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p>
    <w:p>
      <w:pPr>
        <w:spacing w:line="360" w:lineRule="auto"/>
        <w:rPr>
          <w:szCs w:val="21"/>
        </w:rPr>
      </w:pPr>
    </w:p>
    <w:p>
      <w:pPr>
        <w:spacing w:line="360" w:lineRule="auto"/>
        <w:rPr>
          <w:szCs w:val="21"/>
          <w:u w:val="single"/>
        </w:rPr>
      </w:pPr>
      <w:r>
        <w:rPr>
          <w:rFonts w:hint="eastAsia"/>
          <w:szCs w:val="21"/>
        </w:rPr>
        <w:t>授权代理人（签字）：</w:t>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line="360" w:lineRule="auto"/>
        <w:rPr>
          <w:szCs w:val="21"/>
          <w:u w:val="single"/>
        </w:rPr>
      </w:pPr>
    </w:p>
    <w:p>
      <w:pPr>
        <w:spacing w:line="360" w:lineRule="auto"/>
        <w:rPr>
          <w:szCs w:val="21"/>
          <w:u w:val="single"/>
        </w:rPr>
      </w:pPr>
      <w:r>
        <w:rPr>
          <w:rFonts w:hint="eastAsia"/>
        </w:rPr>
        <w:t>日期：</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pStyle w:val="9"/>
        <w:spacing w:line="360" w:lineRule="auto"/>
        <w:rPr>
          <w:rFonts w:ascii="Times New Roman" w:hAnsi="Times New Roman"/>
          <w:szCs w:val="21"/>
          <w:u w:val="single"/>
        </w:rPr>
      </w:pPr>
    </w:p>
    <w:p>
      <w:pPr>
        <w:pStyle w:val="9"/>
        <w:spacing w:line="360" w:lineRule="auto"/>
        <w:rPr>
          <w:rFonts w:ascii="Calibri" w:hAnsi="Calibri"/>
          <w:sz w:val="21"/>
          <w:szCs w:val="21"/>
        </w:rPr>
      </w:pPr>
      <w:r>
        <w:rPr>
          <w:rFonts w:hint="eastAsia" w:ascii="Times New Roman" w:hAnsi="Times New Roman"/>
          <w:szCs w:val="21"/>
        </w:rPr>
        <w:t>填表说明：</w:t>
      </w:r>
    </w:p>
    <w:p>
      <w:pPr>
        <w:numPr>
          <w:ilvl w:val="0"/>
          <w:numId w:val="55"/>
        </w:numPr>
        <w:spacing w:line="360" w:lineRule="auto"/>
        <w:rPr>
          <w:rFonts w:ascii="Calibri" w:hAnsi="Calibri"/>
          <w:sz w:val="21"/>
          <w:szCs w:val="21"/>
        </w:rPr>
      </w:pPr>
      <w:r>
        <w:rPr>
          <w:rFonts w:hint="eastAsia" w:ascii="Calibri" w:hAnsi="Calibri"/>
          <w:sz w:val="21"/>
          <w:szCs w:val="21"/>
        </w:rPr>
        <w:t>投标人须按第一章《招标公告》中合格投标人的基本资质要求和《评标办法》的评审内容，如实提供符合要求的证明文件。</w:t>
      </w:r>
    </w:p>
    <w:p>
      <w:pPr>
        <w:numPr>
          <w:ilvl w:val="0"/>
          <w:numId w:val="55"/>
        </w:numPr>
        <w:spacing w:line="360" w:lineRule="auto"/>
        <w:rPr>
          <w:szCs w:val="21"/>
        </w:rPr>
      </w:pPr>
      <w:r>
        <w:rPr>
          <w:rFonts w:hint="eastAsia"/>
          <w:szCs w:val="21"/>
        </w:rPr>
        <w:t>合同须为最终用户（买方是最终用户）直接签署，否则业绩无效。</w:t>
      </w:r>
    </w:p>
    <w:p>
      <w:pPr>
        <w:numPr>
          <w:ilvl w:val="0"/>
          <w:numId w:val="55"/>
        </w:numPr>
        <w:spacing w:line="360" w:lineRule="auto"/>
        <w:rPr>
          <w:szCs w:val="21"/>
        </w:rPr>
      </w:pPr>
      <w:r>
        <w:rPr>
          <w:rFonts w:hint="eastAsia"/>
          <w:szCs w:val="21"/>
        </w:rPr>
        <w:t>可提供合同复印件或用户证明作为证明材料。合同复印件必须至少包含清晰的双方印章、主要的采购内容、签订时间、合同正文第一页等合同信息，缺少任何一项将有可能视同合同无效。</w:t>
      </w:r>
    </w:p>
    <w:p>
      <w:pPr>
        <w:numPr>
          <w:ilvl w:val="0"/>
          <w:numId w:val="55"/>
        </w:numPr>
        <w:spacing w:line="360" w:lineRule="auto"/>
        <w:rPr>
          <w:szCs w:val="21"/>
        </w:rPr>
      </w:pPr>
      <w:r>
        <w:rPr>
          <w:rFonts w:hint="eastAsia"/>
          <w:szCs w:val="21"/>
        </w:rPr>
        <w:t>投标人需按照表格的顺序装订业绩证明文件，装订顺序须与表中所列项目顺序一致。</w:t>
      </w:r>
    </w:p>
    <w:p>
      <w:pPr>
        <w:numPr>
          <w:ilvl w:val="0"/>
          <w:numId w:val="55"/>
        </w:numPr>
        <w:spacing w:line="360" w:lineRule="auto"/>
        <w:rPr>
          <w:szCs w:val="21"/>
        </w:rPr>
      </w:pPr>
      <w:r>
        <w:rPr>
          <w:rFonts w:hint="eastAsia"/>
          <w:szCs w:val="21"/>
        </w:rPr>
        <w:t>投标人提供的业绩数量超过招标文件规定的（如有），评标委员会按照上表排序和招标文件规定审核业绩，超出数量规定的业绩，不再纳入审核。</w:t>
      </w:r>
    </w:p>
    <w:p>
      <w:pPr>
        <w:pStyle w:val="10"/>
        <w:sectPr>
          <w:pgSz w:w="11906" w:h="16838"/>
          <w:pgMar w:top="1440" w:right="1800" w:bottom="1440" w:left="1800" w:header="851" w:footer="992" w:gutter="0"/>
          <w:cols w:space="720" w:num="1"/>
          <w:docGrid w:type="lines" w:linePitch="312" w:charSpace="0"/>
        </w:sectPr>
      </w:pPr>
    </w:p>
    <w:p>
      <w:pPr>
        <w:pStyle w:val="5"/>
        <w:numPr>
          <w:ilvl w:val="2"/>
          <w:numId w:val="53"/>
        </w:numPr>
        <w:tabs>
          <w:tab w:val="left" w:pos="420"/>
          <w:tab w:val="left" w:pos="1555"/>
        </w:tabs>
        <w:ind w:left="720"/>
        <w:rPr>
          <w:szCs w:val="24"/>
        </w:rPr>
      </w:pPr>
      <w:bookmarkStart w:id="29" w:name="_Toc24681"/>
      <w:bookmarkStart w:id="30" w:name="_Toc30333959"/>
      <w:bookmarkStart w:id="31" w:name="_Toc13577"/>
      <w:r>
        <w:rPr>
          <w:rFonts w:hint="eastAsia"/>
        </w:rPr>
        <w:t>业绩案例证明文件</w:t>
      </w:r>
      <w:bookmarkEnd w:id="29"/>
      <w:bookmarkEnd w:id="30"/>
      <w:bookmarkEnd w:id="31"/>
    </w:p>
    <w:p>
      <w:pPr>
        <w:pStyle w:val="10"/>
        <w:spacing w:line="360" w:lineRule="auto"/>
        <w:rPr>
          <w:rFonts w:ascii="宋体" w:eastAsia="宋体" w:cs="宋体"/>
          <w:b/>
          <w:szCs w:val="21"/>
        </w:rPr>
      </w:pPr>
      <w:r>
        <w:rPr>
          <w:rFonts w:hint="eastAsia" w:ascii="宋体" w:eastAsia="宋体" w:cs="宋体"/>
          <w:b/>
          <w:szCs w:val="21"/>
        </w:rPr>
        <w:t>注：投标人按照业绩案例表所列顺序，提供每一个案例的证明文件。</w:t>
      </w:r>
    </w:p>
    <w:p>
      <w:pPr>
        <w:pStyle w:val="6"/>
        <w:numPr>
          <w:ilvl w:val="3"/>
          <w:numId w:val="53"/>
        </w:numPr>
        <w:ind w:left="864"/>
        <w:rPr>
          <w:rFonts w:ascii="宋体" w:hAnsi="宋体" w:cs="宋体"/>
          <w:szCs w:val="24"/>
        </w:rPr>
      </w:pPr>
      <w:r>
        <w:rPr>
          <w:rFonts w:hint="eastAsia" w:ascii="宋体" w:hAnsi="宋体" w:cs="宋体"/>
        </w:rPr>
        <w:t>（示例）案例1-1证明文件</w:t>
      </w:r>
    </w:p>
    <w:p>
      <w:pPr>
        <w:pStyle w:val="10"/>
        <w:rPr>
          <w:rFonts w:ascii="宋体" w:cs="宋体"/>
          <w:b/>
          <w:szCs w:val="21"/>
        </w:rPr>
      </w:pPr>
    </w:p>
    <w:p>
      <w:pPr>
        <w:pStyle w:val="10"/>
        <w:rPr>
          <w:rFonts w:ascii="宋体" w:cs="宋体"/>
          <w:b/>
          <w:szCs w:val="21"/>
        </w:rPr>
      </w:pPr>
    </w:p>
    <w:p>
      <w:pPr>
        <w:pStyle w:val="10"/>
        <w:rPr>
          <w:rFonts w:ascii="宋体" w:cs="宋体"/>
          <w:b/>
          <w:szCs w:val="21"/>
        </w:rPr>
      </w:pPr>
    </w:p>
    <w:p>
      <w:pPr>
        <w:pStyle w:val="6"/>
        <w:numPr>
          <w:ilvl w:val="3"/>
          <w:numId w:val="53"/>
        </w:numPr>
        <w:ind w:left="864"/>
        <w:rPr>
          <w:rFonts w:ascii="宋体" w:hAnsi="宋体" w:cs="宋体"/>
          <w:szCs w:val="21"/>
        </w:rPr>
      </w:pPr>
      <w:r>
        <w:rPr>
          <w:rFonts w:hint="eastAsia" w:ascii="宋体" w:hAnsi="宋体" w:cs="宋体"/>
        </w:rPr>
        <w:t>（示例）案例1-2证明文件</w:t>
      </w: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4"/>
        <w:numPr>
          <w:ilvl w:val="1"/>
          <w:numId w:val="53"/>
        </w:numPr>
        <w:adjustRightInd/>
        <w:spacing w:before="260" w:after="260" w:line="413" w:lineRule="auto"/>
        <w:ind w:left="575"/>
        <w:jc w:val="both"/>
        <w:textAlignment w:val="auto"/>
        <w:rPr>
          <w:rFonts w:ascii="宋体" w:hAnsi="宋体" w:cs="宋体"/>
          <w:bCs/>
        </w:rPr>
      </w:pPr>
      <w:bookmarkStart w:id="32" w:name="_Toc18097"/>
      <w:r>
        <w:rPr>
          <w:rFonts w:hint="eastAsia" w:eastAsia="宋体" w:cs="Times New Roman"/>
          <w:kern w:val="2"/>
          <w:sz w:val="32"/>
          <w:szCs w:val="24"/>
        </w:rPr>
        <w:t>其他证明材料</w:t>
      </w:r>
      <w:bookmarkEnd w:id="32"/>
    </w:p>
    <w:p>
      <w:pPr>
        <w:pStyle w:val="10"/>
        <w:widowControl w:val="0"/>
        <w:spacing w:line="360" w:lineRule="auto"/>
        <w:jc w:val="both"/>
        <w:rPr>
          <w:szCs w:val="21"/>
          <w:u w:val="single"/>
        </w:rPr>
      </w:pPr>
      <w:r>
        <w:rPr>
          <w:rFonts w:hint="eastAsia" w:ascii="宋体" w:eastAsia="宋体" w:cs="宋体"/>
          <w:b/>
          <w:bCs/>
        </w:rPr>
        <w:t>注：投标人根据招标文件合格投标人基本资质要求和</w:t>
      </w:r>
      <w:r>
        <w:rPr>
          <w:rFonts w:hint="eastAsia" w:ascii="宋体" w:eastAsia="宋体" w:cs="宋体"/>
          <w:b/>
          <w:bCs/>
          <w:sz w:val="21"/>
          <w:szCs w:val="21"/>
        </w:rPr>
        <w:t>《评标办法》的评审内容</w:t>
      </w:r>
      <w:r>
        <w:rPr>
          <w:rFonts w:hint="eastAsia" w:ascii="宋体" w:eastAsia="宋体" w:cs="宋体"/>
          <w:b/>
          <w:bCs/>
        </w:rPr>
        <w:t>，提供其他证明材料。如招标文件合格投标人基本资质条件和</w:t>
      </w:r>
      <w:r>
        <w:rPr>
          <w:rFonts w:hint="eastAsia" w:ascii="宋体" w:eastAsia="宋体" w:cs="宋体"/>
          <w:b/>
          <w:bCs/>
          <w:sz w:val="21"/>
          <w:szCs w:val="21"/>
        </w:rPr>
        <w:t>《评标办法》的评审内容</w:t>
      </w:r>
      <w:r>
        <w:rPr>
          <w:rFonts w:hint="eastAsia" w:ascii="宋体" w:eastAsia="宋体" w:cs="宋体"/>
          <w:b/>
          <w:bCs/>
        </w:rPr>
        <w:t>中未要求其他证明材料，则可不提供。</w:t>
      </w:r>
    </w:p>
    <w:p>
      <w:pPr>
        <w:keepNext/>
        <w:keepLines/>
        <w:widowControl w:val="0"/>
        <w:numPr>
          <w:ilvl w:val="2"/>
          <w:numId w:val="53"/>
        </w:numPr>
        <w:adjustRightInd w:val="0"/>
        <w:spacing w:before="240" w:after="120" w:line="300" w:lineRule="auto"/>
        <w:ind w:left="720"/>
        <w:textAlignment w:val="baseline"/>
        <w:outlineLvl w:val="2"/>
        <w:rPr>
          <w:rFonts w:ascii="宋体" w:hAnsi="宋体" w:cs="Times New Roman"/>
          <w:b/>
          <w:kern w:val="0"/>
          <w:sz w:val="32"/>
          <w:szCs w:val="24"/>
        </w:rPr>
      </w:pPr>
      <w:r>
        <w:rPr>
          <w:rFonts w:hint="eastAsia" w:ascii="宋体" w:hAnsi="宋体" w:cs="Times New Roman"/>
          <w:b/>
          <w:kern w:val="0"/>
          <w:sz w:val="32"/>
          <w:szCs w:val="24"/>
        </w:rPr>
        <w:t>礼品经销代理能力</w:t>
      </w:r>
    </w:p>
    <w:p>
      <w:pPr>
        <w:pStyle w:val="10"/>
        <w:rPr>
          <w:rFonts w:ascii="宋体" w:eastAsia="宋体" w:cs="宋体"/>
        </w:rPr>
      </w:pPr>
      <w:r>
        <w:rPr>
          <w:rFonts w:hint="eastAsia" w:ascii="宋体" w:eastAsia="宋体" w:cs="宋体"/>
        </w:rPr>
        <w:t>在招标人提供的礼品清单范围外，投标人在0-100元（含）、100元（不含）-200元（含）、200（不含）-500元（含）三档礼品单价价格区间内（单价为含税价格），各提报一款已取得代理授权的礼品。</w:t>
      </w:r>
    </w:p>
    <w:p>
      <w:pPr>
        <w:pStyle w:val="10"/>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42"/>
        <w:gridCol w:w="1016"/>
        <w:gridCol w:w="1445"/>
        <w:gridCol w:w="1750"/>
        <w:gridCol w:w="161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vAlign w:val="center"/>
          </w:tcPr>
          <w:p>
            <w:pPr>
              <w:pStyle w:val="9"/>
              <w:jc w:val="center"/>
              <w:rPr>
                <w:rFonts w:hAnsi="宋体"/>
                <w:szCs w:val="21"/>
              </w:rPr>
            </w:pPr>
            <w:r>
              <w:rPr>
                <w:rFonts w:hint="eastAsia" w:hAnsi="宋体"/>
                <w:szCs w:val="21"/>
              </w:rPr>
              <w:t>序号</w:t>
            </w:r>
          </w:p>
        </w:tc>
        <w:tc>
          <w:tcPr>
            <w:tcW w:w="1542" w:type="dxa"/>
            <w:vAlign w:val="center"/>
          </w:tcPr>
          <w:p>
            <w:pPr>
              <w:pStyle w:val="9"/>
              <w:jc w:val="center"/>
              <w:rPr>
                <w:rFonts w:hAnsi="宋体"/>
                <w:szCs w:val="21"/>
              </w:rPr>
            </w:pPr>
            <w:r>
              <w:rPr>
                <w:rFonts w:hint="eastAsia" w:hAnsi="宋体"/>
                <w:szCs w:val="21"/>
              </w:rPr>
              <w:t>价格区间</w:t>
            </w:r>
          </w:p>
        </w:tc>
        <w:tc>
          <w:tcPr>
            <w:tcW w:w="1016" w:type="dxa"/>
            <w:vAlign w:val="center"/>
          </w:tcPr>
          <w:p>
            <w:pPr>
              <w:pStyle w:val="9"/>
              <w:jc w:val="center"/>
              <w:rPr>
                <w:rFonts w:hAnsi="宋体"/>
                <w:szCs w:val="21"/>
              </w:rPr>
            </w:pPr>
            <w:r>
              <w:rPr>
                <w:rFonts w:hint="eastAsia" w:hAnsi="宋体"/>
                <w:szCs w:val="21"/>
              </w:rPr>
              <w:t>代理品牌名称</w:t>
            </w:r>
          </w:p>
        </w:tc>
        <w:tc>
          <w:tcPr>
            <w:tcW w:w="1445" w:type="dxa"/>
            <w:vAlign w:val="center"/>
          </w:tcPr>
          <w:p>
            <w:pPr>
              <w:pStyle w:val="9"/>
              <w:jc w:val="center"/>
              <w:rPr>
                <w:rFonts w:hAnsi="Damascus" w:cs="Damascus"/>
                <w:szCs w:val="21"/>
              </w:rPr>
            </w:pPr>
            <w:r>
              <w:rPr>
                <w:rFonts w:hint="eastAsia" w:hAnsi="宋体"/>
                <w:szCs w:val="21"/>
              </w:rPr>
              <w:t>代理</w:t>
            </w:r>
            <w:r>
              <w:rPr>
                <w:rFonts w:hint="eastAsia" w:hAnsi="Damascus" w:cs="Damascus"/>
                <w:szCs w:val="21"/>
              </w:rPr>
              <w:t>产品</w:t>
            </w:r>
          </w:p>
          <w:p>
            <w:pPr>
              <w:pStyle w:val="9"/>
              <w:jc w:val="center"/>
              <w:rPr>
                <w:rFonts w:hAnsi="宋体"/>
                <w:szCs w:val="21"/>
              </w:rPr>
            </w:pPr>
            <w:r>
              <w:rPr>
                <w:rFonts w:hint="eastAsia" w:hAnsi="Damascus" w:cs="Damascus"/>
                <w:szCs w:val="21"/>
              </w:rPr>
              <w:t>名称及型号</w:t>
            </w:r>
          </w:p>
        </w:tc>
        <w:tc>
          <w:tcPr>
            <w:tcW w:w="1750" w:type="dxa"/>
            <w:vAlign w:val="center"/>
          </w:tcPr>
          <w:p>
            <w:pPr>
              <w:pStyle w:val="9"/>
              <w:jc w:val="center"/>
              <w:rPr>
                <w:rFonts w:hAnsi="宋体"/>
                <w:szCs w:val="21"/>
              </w:rPr>
            </w:pPr>
            <w:r>
              <w:rPr>
                <w:rFonts w:hint="eastAsia" w:hAnsi="宋体"/>
                <w:szCs w:val="21"/>
              </w:rPr>
              <w:t>授权内容</w:t>
            </w:r>
          </w:p>
        </w:tc>
        <w:tc>
          <w:tcPr>
            <w:tcW w:w="1617" w:type="dxa"/>
            <w:vAlign w:val="center"/>
          </w:tcPr>
          <w:p>
            <w:pPr>
              <w:pStyle w:val="9"/>
              <w:jc w:val="center"/>
              <w:rPr>
                <w:rFonts w:hAnsi="宋体"/>
                <w:szCs w:val="21"/>
              </w:rPr>
            </w:pPr>
            <w:r>
              <w:rPr>
                <w:rFonts w:hint="eastAsia" w:hAnsi="宋体"/>
                <w:szCs w:val="21"/>
              </w:rPr>
              <w:t>授权书有效期</w:t>
            </w:r>
          </w:p>
        </w:tc>
        <w:tc>
          <w:tcPr>
            <w:tcW w:w="1118" w:type="dxa"/>
            <w:vAlign w:val="center"/>
          </w:tcPr>
          <w:p>
            <w:pPr>
              <w:pStyle w:val="9"/>
              <w:jc w:val="center"/>
              <w:rPr>
                <w:rFonts w:hAnsi="宋体"/>
                <w:szCs w:val="21"/>
              </w:rPr>
            </w:pPr>
            <w:r>
              <w:rPr>
                <w:rFonts w:hint="eastAsia" w:hAnsi="宋体"/>
                <w:szCs w:val="21"/>
              </w:rPr>
              <w:t>授权单位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644" w:type="dxa"/>
            <w:vAlign w:val="center"/>
          </w:tcPr>
          <w:p>
            <w:pPr>
              <w:pStyle w:val="9"/>
              <w:jc w:val="center"/>
              <w:rPr>
                <w:rFonts w:hAnsi="宋体"/>
                <w:szCs w:val="21"/>
              </w:rPr>
            </w:pPr>
            <w:r>
              <w:rPr>
                <w:rFonts w:hint="eastAsia" w:hAnsi="宋体"/>
                <w:szCs w:val="21"/>
              </w:rPr>
              <w:t>1</w:t>
            </w:r>
          </w:p>
        </w:tc>
        <w:tc>
          <w:tcPr>
            <w:tcW w:w="1542" w:type="dxa"/>
            <w:vAlign w:val="center"/>
          </w:tcPr>
          <w:p>
            <w:pPr>
              <w:pStyle w:val="9"/>
              <w:jc w:val="center"/>
              <w:rPr>
                <w:rFonts w:hAnsi="宋体"/>
                <w:szCs w:val="21"/>
              </w:rPr>
            </w:pPr>
            <w:r>
              <w:rPr>
                <w:rFonts w:hint="eastAsia"/>
              </w:rPr>
              <w:t>0-100元（含）</w:t>
            </w:r>
          </w:p>
        </w:tc>
        <w:tc>
          <w:tcPr>
            <w:tcW w:w="1016" w:type="dxa"/>
            <w:vAlign w:val="center"/>
          </w:tcPr>
          <w:p>
            <w:pPr>
              <w:pStyle w:val="9"/>
              <w:jc w:val="center"/>
              <w:rPr>
                <w:rFonts w:hAnsi="宋体"/>
                <w:szCs w:val="21"/>
              </w:rPr>
            </w:pPr>
          </w:p>
        </w:tc>
        <w:tc>
          <w:tcPr>
            <w:tcW w:w="1445" w:type="dxa"/>
            <w:vAlign w:val="center"/>
          </w:tcPr>
          <w:p>
            <w:pPr>
              <w:pStyle w:val="9"/>
              <w:jc w:val="center"/>
              <w:rPr>
                <w:rFonts w:hAnsi="宋体"/>
                <w:szCs w:val="21"/>
              </w:rPr>
            </w:pPr>
          </w:p>
        </w:tc>
        <w:tc>
          <w:tcPr>
            <w:tcW w:w="1750" w:type="dxa"/>
            <w:vAlign w:val="center"/>
          </w:tcPr>
          <w:p>
            <w:pPr>
              <w:pStyle w:val="9"/>
              <w:jc w:val="center"/>
              <w:rPr>
                <w:rFonts w:hAnsi="宋体"/>
                <w:szCs w:val="21"/>
              </w:rPr>
            </w:pPr>
          </w:p>
        </w:tc>
        <w:tc>
          <w:tcPr>
            <w:tcW w:w="1617" w:type="dxa"/>
            <w:vAlign w:val="center"/>
          </w:tcPr>
          <w:p>
            <w:pPr>
              <w:pStyle w:val="9"/>
              <w:jc w:val="center"/>
              <w:rPr>
                <w:rFonts w:hAnsi="宋体"/>
                <w:szCs w:val="21"/>
              </w:rPr>
            </w:pPr>
          </w:p>
        </w:tc>
        <w:tc>
          <w:tcPr>
            <w:tcW w:w="1118" w:type="dxa"/>
            <w:vAlign w:val="center"/>
          </w:tcPr>
          <w:p>
            <w:pPr>
              <w:pStyle w:val="9"/>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vAlign w:val="center"/>
          </w:tcPr>
          <w:p>
            <w:pPr>
              <w:pStyle w:val="9"/>
              <w:jc w:val="center"/>
              <w:rPr>
                <w:rFonts w:hAnsi="宋体"/>
                <w:szCs w:val="21"/>
              </w:rPr>
            </w:pPr>
            <w:r>
              <w:rPr>
                <w:rFonts w:hint="eastAsia" w:hAnsi="宋体"/>
                <w:szCs w:val="21"/>
              </w:rPr>
              <w:t>2</w:t>
            </w:r>
          </w:p>
        </w:tc>
        <w:tc>
          <w:tcPr>
            <w:tcW w:w="1542" w:type="dxa"/>
            <w:vAlign w:val="center"/>
          </w:tcPr>
          <w:p>
            <w:pPr>
              <w:pStyle w:val="9"/>
              <w:jc w:val="center"/>
              <w:rPr>
                <w:rFonts w:hAnsi="宋体"/>
                <w:szCs w:val="21"/>
              </w:rPr>
            </w:pPr>
            <w:r>
              <w:rPr>
                <w:rFonts w:hint="eastAsia"/>
              </w:rPr>
              <w:t>100元（不含）-200元（含）</w:t>
            </w:r>
          </w:p>
        </w:tc>
        <w:tc>
          <w:tcPr>
            <w:tcW w:w="1016" w:type="dxa"/>
            <w:vAlign w:val="center"/>
          </w:tcPr>
          <w:p>
            <w:pPr>
              <w:pStyle w:val="9"/>
              <w:jc w:val="center"/>
              <w:rPr>
                <w:rFonts w:hAnsi="宋体"/>
                <w:szCs w:val="21"/>
              </w:rPr>
            </w:pPr>
          </w:p>
        </w:tc>
        <w:tc>
          <w:tcPr>
            <w:tcW w:w="1445" w:type="dxa"/>
            <w:vAlign w:val="center"/>
          </w:tcPr>
          <w:p>
            <w:pPr>
              <w:pStyle w:val="9"/>
              <w:jc w:val="center"/>
              <w:rPr>
                <w:rFonts w:hAnsi="宋体"/>
                <w:szCs w:val="21"/>
              </w:rPr>
            </w:pPr>
          </w:p>
        </w:tc>
        <w:tc>
          <w:tcPr>
            <w:tcW w:w="1750" w:type="dxa"/>
            <w:vAlign w:val="center"/>
          </w:tcPr>
          <w:p>
            <w:pPr>
              <w:pStyle w:val="9"/>
              <w:jc w:val="center"/>
              <w:rPr>
                <w:rFonts w:hAnsi="宋体"/>
                <w:szCs w:val="21"/>
              </w:rPr>
            </w:pPr>
          </w:p>
        </w:tc>
        <w:tc>
          <w:tcPr>
            <w:tcW w:w="1617" w:type="dxa"/>
            <w:vAlign w:val="center"/>
          </w:tcPr>
          <w:p>
            <w:pPr>
              <w:pStyle w:val="9"/>
              <w:jc w:val="center"/>
              <w:rPr>
                <w:rFonts w:hAnsi="宋体"/>
                <w:szCs w:val="21"/>
              </w:rPr>
            </w:pPr>
          </w:p>
        </w:tc>
        <w:tc>
          <w:tcPr>
            <w:tcW w:w="1118" w:type="dxa"/>
            <w:vAlign w:val="center"/>
          </w:tcPr>
          <w:p>
            <w:pPr>
              <w:pStyle w:val="9"/>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vAlign w:val="center"/>
          </w:tcPr>
          <w:p>
            <w:pPr>
              <w:pStyle w:val="9"/>
              <w:jc w:val="center"/>
              <w:rPr>
                <w:rFonts w:hAnsi="宋体"/>
                <w:szCs w:val="21"/>
              </w:rPr>
            </w:pPr>
            <w:r>
              <w:rPr>
                <w:rFonts w:hint="eastAsia" w:hAnsi="宋体"/>
                <w:szCs w:val="21"/>
              </w:rPr>
              <w:t>3</w:t>
            </w:r>
          </w:p>
        </w:tc>
        <w:tc>
          <w:tcPr>
            <w:tcW w:w="1542" w:type="dxa"/>
            <w:vAlign w:val="center"/>
          </w:tcPr>
          <w:p>
            <w:pPr>
              <w:pStyle w:val="9"/>
              <w:jc w:val="center"/>
              <w:rPr>
                <w:rFonts w:hAnsi="宋体"/>
                <w:szCs w:val="21"/>
              </w:rPr>
            </w:pPr>
            <w:r>
              <w:rPr>
                <w:rFonts w:hint="eastAsia"/>
              </w:rPr>
              <w:t>200（不含）-500元（含）</w:t>
            </w:r>
          </w:p>
        </w:tc>
        <w:tc>
          <w:tcPr>
            <w:tcW w:w="1016" w:type="dxa"/>
            <w:vAlign w:val="center"/>
          </w:tcPr>
          <w:p>
            <w:pPr>
              <w:pStyle w:val="9"/>
              <w:jc w:val="center"/>
              <w:rPr>
                <w:rFonts w:hAnsi="宋体"/>
                <w:szCs w:val="21"/>
              </w:rPr>
            </w:pPr>
          </w:p>
        </w:tc>
        <w:tc>
          <w:tcPr>
            <w:tcW w:w="1445" w:type="dxa"/>
            <w:vAlign w:val="center"/>
          </w:tcPr>
          <w:p>
            <w:pPr>
              <w:pStyle w:val="9"/>
              <w:jc w:val="center"/>
              <w:rPr>
                <w:rFonts w:hAnsi="宋体"/>
                <w:szCs w:val="21"/>
              </w:rPr>
            </w:pPr>
          </w:p>
        </w:tc>
        <w:tc>
          <w:tcPr>
            <w:tcW w:w="1750" w:type="dxa"/>
            <w:vAlign w:val="center"/>
          </w:tcPr>
          <w:p>
            <w:pPr>
              <w:pStyle w:val="9"/>
              <w:jc w:val="center"/>
              <w:rPr>
                <w:rFonts w:hAnsi="宋体"/>
                <w:szCs w:val="21"/>
              </w:rPr>
            </w:pPr>
          </w:p>
        </w:tc>
        <w:tc>
          <w:tcPr>
            <w:tcW w:w="1617" w:type="dxa"/>
            <w:vAlign w:val="center"/>
          </w:tcPr>
          <w:p>
            <w:pPr>
              <w:pStyle w:val="9"/>
              <w:jc w:val="center"/>
              <w:rPr>
                <w:rFonts w:hAnsi="宋体"/>
                <w:szCs w:val="21"/>
              </w:rPr>
            </w:pPr>
          </w:p>
        </w:tc>
        <w:tc>
          <w:tcPr>
            <w:tcW w:w="1118" w:type="dxa"/>
            <w:vAlign w:val="center"/>
          </w:tcPr>
          <w:p>
            <w:pPr>
              <w:pStyle w:val="9"/>
              <w:jc w:val="center"/>
              <w:rPr>
                <w:rFonts w:hAnsi="宋体"/>
                <w:szCs w:val="21"/>
              </w:rPr>
            </w:pPr>
          </w:p>
        </w:tc>
      </w:tr>
    </w:tbl>
    <w:p>
      <w:pPr>
        <w:pStyle w:val="10"/>
        <w:widowControl w:val="0"/>
        <w:spacing w:line="360" w:lineRule="auto"/>
        <w:jc w:val="both"/>
        <w:rPr>
          <w:rFonts w:ascii="宋体" w:eastAsia="宋体" w:cs="宋体"/>
          <w:b/>
          <w:sz w:val="21"/>
          <w:szCs w:val="21"/>
        </w:rPr>
      </w:pPr>
    </w:p>
    <w:p>
      <w:pPr>
        <w:widowControl w:val="0"/>
        <w:spacing w:line="360" w:lineRule="auto"/>
        <w:ind w:firstLine="400" w:firstLineChars="200"/>
        <w:jc w:val="both"/>
        <w:rPr>
          <w:rFonts w:ascii="宋体" w:hAnsi="宋体" w:cs="宋体"/>
          <w:b/>
          <w:sz w:val="21"/>
          <w:szCs w:val="21"/>
        </w:rPr>
      </w:pPr>
      <w:r>
        <w:rPr>
          <w:rFonts w:hint="eastAsia" w:ascii="宋体" w:hAnsi="宋体"/>
          <w:szCs w:val="21"/>
        </w:rPr>
        <w:t>注：如投标人是商标权人，须</w:t>
      </w:r>
      <w:r>
        <w:rPr>
          <w:rFonts w:ascii="宋体" w:hAnsi="宋体"/>
          <w:szCs w:val="21"/>
        </w:rPr>
        <w:t>提供商标注册证等相关证明文件（需提供复印件并加盖公章）</w:t>
      </w:r>
      <w:r>
        <w:rPr>
          <w:rFonts w:hint="eastAsia" w:ascii="宋体" w:hAnsi="宋体"/>
          <w:szCs w:val="21"/>
        </w:rPr>
        <w:t>；</w:t>
      </w:r>
      <w:r>
        <w:rPr>
          <w:rFonts w:ascii="宋体" w:hAnsi="宋体"/>
          <w:szCs w:val="21"/>
        </w:rPr>
        <w:t>如</w:t>
      </w:r>
      <w:r>
        <w:rPr>
          <w:rFonts w:hint="eastAsia" w:ascii="宋体" w:hAnsi="宋体"/>
          <w:szCs w:val="21"/>
        </w:rPr>
        <w:t>投标人是</w:t>
      </w:r>
      <w:r>
        <w:rPr>
          <w:rFonts w:ascii="宋体" w:hAnsi="宋体"/>
          <w:szCs w:val="21"/>
        </w:rPr>
        <w:t>代理商须提供</w:t>
      </w:r>
      <w:r>
        <w:rPr>
          <w:rFonts w:hint="eastAsia" w:ascii="宋体" w:hAnsi="宋体"/>
          <w:szCs w:val="21"/>
        </w:rPr>
        <w:t>有</w:t>
      </w:r>
      <w:r>
        <w:rPr>
          <w:rFonts w:ascii="宋体" w:hAnsi="宋体"/>
          <w:szCs w:val="21"/>
        </w:rPr>
        <w:t>效</w:t>
      </w:r>
      <w:r>
        <w:rPr>
          <w:rFonts w:hint="eastAsia" w:ascii="宋体" w:hAnsi="宋体"/>
          <w:szCs w:val="21"/>
        </w:rPr>
        <w:t>产品授权证明文件</w:t>
      </w:r>
      <w:r>
        <w:rPr>
          <w:rFonts w:ascii="宋体" w:hAnsi="宋体"/>
          <w:szCs w:val="21"/>
        </w:rPr>
        <w:t>（</w:t>
      </w:r>
      <w:r>
        <w:rPr>
          <w:rFonts w:hint="eastAsia" w:ascii="宋体" w:hAnsi="宋体"/>
          <w:szCs w:val="21"/>
        </w:rPr>
        <w:t>含商标注册证），如为二</w:t>
      </w:r>
      <w:r>
        <w:rPr>
          <w:rFonts w:ascii="宋体" w:hAnsi="宋体"/>
          <w:szCs w:val="21"/>
        </w:rPr>
        <w:t>级代理，须同时提供各层级代理的有效证明文件</w:t>
      </w:r>
      <w:r>
        <w:rPr>
          <w:rFonts w:hint="eastAsia" w:ascii="宋体" w:hAnsi="宋体"/>
          <w:szCs w:val="21"/>
        </w:rPr>
        <w:t>复印</w:t>
      </w:r>
      <w:r>
        <w:rPr>
          <w:rFonts w:ascii="宋体" w:hAnsi="宋体"/>
          <w:szCs w:val="21"/>
        </w:rPr>
        <w:t>件并加盖公</w:t>
      </w:r>
      <w:r>
        <w:rPr>
          <w:rFonts w:hint="eastAsia" w:ascii="宋体" w:hAnsi="宋体"/>
          <w:szCs w:val="21"/>
        </w:rPr>
        <w:t>章。</w:t>
      </w:r>
    </w:p>
    <w:p>
      <w:pPr>
        <w:pStyle w:val="8"/>
        <w:spacing w:before="120" w:line="360" w:lineRule="auto"/>
        <w:rPr>
          <w:kern w:val="2"/>
          <w:sz w:val="18"/>
          <w:szCs w:val="18"/>
        </w:rPr>
      </w:pPr>
      <w:r>
        <w:rPr>
          <w:rFonts w:hint="eastAsia"/>
          <w:sz w:val="21"/>
          <w:szCs w:val="18"/>
        </w:rPr>
        <w:t>投标人名称（公章）：</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r>
        <w:rPr>
          <w:sz w:val="21"/>
          <w:szCs w:val="18"/>
          <w:u w:val="single"/>
        </w:rPr>
        <w:t xml:space="preserve">     </w:t>
      </w:r>
      <w:r>
        <w:rPr>
          <w:sz w:val="21"/>
          <w:szCs w:val="18"/>
          <w:u w:val="single"/>
        </w:rPr>
        <w:tab/>
      </w:r>
    </w:p>
    <w:p>
      <w:pPr>
        <w:spacing w:line="360" w:lineRule="auto"/>
        <w:rPr>
          <w:szCs w:val="21"/>
        </w:rPr>
      </w:pPr>
    </w:p>
    <w:p>
      <w:pPr>
        <w:spacing w:line="360" w:lineRule="auto"/>
        <w:rPr>
          <w:szCs w:val="21"/>
          <w:u w:val="single"/>
        </w:rPr>
      </w:pPr>
      <w:r>
        <w:rPr>
          <w:rFonts w:hint="eastAsia"/>
          <w:szCs w:val="21"/>
        </w:rPr>
        <w:t>授权代理人（签字）：</w:t>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line="360" w:lineRule="auto"/>
        <w:rPr>
          <w:szCs w:val="21"/>
          <w:u w:val="single"/>
        </w:rPr>
      </w:pPr>
    </w:p>
    <w:p>
      <w:pPr>
        <w:spacing w:line="360" w:lineRule="auto"/>
        <w:rPr>
          <w:szCs w:val="21"/>
          <w:u w:val="single"/>
        </w:rPr>
      </w:pPr>
      <w:r>
        <w:rPr>
          <w:rFonts w:hint="eastAsia"/>
        </w:rPr>
        <w:t>日期：</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2"/>
        <w:rPr>
          <w:rFonts w:cs="宋体"/>
          <w:b/>
          <w:bCs/>
          <w:kern w:val="0"/>
          <w:sz w:val="21"/>
          <w:szCs w:val="21"/>
          <w:lang w:eastAsia="zh-Hans"/>
        </w:rPr>
      </w:pPr>
    </w:p>
    <w:p>
      <w:pPr>
        <w:pStyle w:val="4"/>
        <w:numPr>
          <w:ilvl w:val="1"/>
          <w:numId w:val="53"/>
        </w:numPr>
        <w:adjustRightInd/>
        <w:spacing w:before="260" w:after="260" w:line="412" w:lineRule="auto"/>
        <w:ind w:left="575"/>
        <w:jc w:val="both"/>
        <w:textAlignment w:val="auto"/>
        <w:rPr>
          <w:szCs w:val="24"/>
        </w:rPr>
      </w:pPr>
      <w:bookmarkStart w:id="33" w:name="_Toc30333969"/>
      <w:bookmarkStart w:id="34" w:name="_Toc27354"/>
      <w:bookmarkStart w:id="35" w:name="_Toc24101"/>
      <w:r>
        <w:rPr>
          <w:rFonts w:hint="eastAsia"/>
        </w:rPr>
        <w:t>近三年财务状况及财务报告</w:t>
      </w:r>
      <w:bookmarkEnd w:id="33"/>
      <w:bookmarkEnd w:id="34"/>
      <w:bookmarkEnd w:id="35"/>
    </w:p>
    <w:p>
      <w:pPr>
        <w:pStyle w:val="5"/>
        <w:numPr>
          <w:ilvl w:val="2"/>
          <w:numId w:val="53"/>
        </w:numPr>
        <w:tabs>
          <w:tab w:val="left" w:pos="420"/>
          <w:tab w:val="left" w:pos="1555"/>
        </w:tabs>
        <w:ind w:left="720"/>
      </w:pPr>
      <w:bookmarkStart w:id="36" w:name="_Toc30333970"/>
      <w:bookmarkStart w:id="37" w:name="_Toc24976"/>
      <w:bookmarkStart w:id="38" w:name="_Toc18010"/>
      <w:r>
        <w:rPr>
          <w:rFonts w:hint="eastAsia"/>
        </w:rPr>
        <w:t>近三年财务状况</w:t>
      </w:r>
      <w:bookmarkEnd w:id="36"/>
      <w:bookmarkEnd w:id="37"/>
      <w:bookmarkEnd w:id="38"/>
    </w:p>
    <w:p>
      <w:pPr>
        <w:ind w:right="2"/>
        <w:jc w:val="right"/>
        <w:rPr>
          <w:b/>
          <w:sz w:val="24"/>
          <w:szCs w:val="24"/>
        </w:rPr>
      </w:pPr>
      <w:r>
        <w:rPr>
          <w:rFonts w:hint="eastAsia"/>
          <w:bCs/>
          <w:sz w:val="24"/>
          <w:szCs w:val="24"/>
        </w:rPr>
        <w:t>单位：万元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410"/>
        <w:gridCol w:w="1425"/>
        <w:gridCol w:w="1455"/>
        <w:gridCol w:w="148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1098"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年份</w:t>
            </w:r>
          </w:p>
        </w:tc>
        <w:tc>
          <w:tcPr>
            <w:tcW w:w="1410"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总资产</w:t>
            </w:r>
          </w:p>
        </w:tc>
        <w:tc>
          <w:tcPr>
            <w:tcW w:w="1425"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净资产</w:t>
            </w:r>
          </w:p>
        </w:tc>
        <w:tc>
          <w:tcPr>
            <w:tcW w:w="1455"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营业收入</w:t>
            </w:r>
          </w:p>
        </w:tc>
        <w:tc>
          <w:tcPr>
            <w:tcW w:w="1485"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营业利润</w:t>
            </w:r>
          </w:p>
        </w:tc>
        <w:tc>
          <w:tcPr>
            <w:tcW w:w="1336" w:type="dxa"/>
            <w:vAlign w:val="center"/>
          </w:tcPr>
          <w:p>
            <w:pPr>
              <w:pStyle w:val="21"/>
              <w:ind w:left="0" w:firstLine="0" w:firstLineChars="0"/>
              <w:jc w:val="center"/>
              <w:rPr>
                <w:rFonts w:ascii="宋体" w:hAnsi="宋体"/>
                <w:b/>
                <w:bCs/>
                <w:sz w:val="24"/>
                <w:szCs w:val="24"/>
              </w:rPr>
            </w:pPr>
            <w:r>
              <w:rPr>
                <w:rFonts w:hint="eastAsia" w:ascii="宋体" w:hAnsi="宋体"/>
                <w:b/>
                <w:bCs/>
                <w:sz w:val="24"/>
                <w:szCs w:val="24"/>
              </w:rPr>
              <w:t>净利润</w:t>
            </w:r>
          </w:p>
        </w:tc>
      </w:tr>
      <w:tr>
        <w:trPr>
          <w:trHeight w:val="571" w:hRule="atLeast"/>
          <w:jc w:val="center"/>
        </w:trPr>
        <w:tc>
          <w:tcPr>
            <w:tcW w:w="1098" w:type="dxa"/>
            <w:vAlign w:val="center"/>
          </w:tcPr>
          <w:p>
            <w:pPr>
              <w:pStyle w:val="21"/>
              <w:ind w:left="0" w:firstLine="0" w:firstLineChars="0"/>
              <w:jc w:val="center"/>
              <w:rPr>
                <w:rFonts w:ascii="宋体" w:hAnsi="宋体"/>
                <w:sz w:val="24"/>
                <w:szCs w:val="24"/>
              </w:rPr>
            </w:pPr>
            <w:r>
              <w:rPr>
                <w:rFonts w:hint="eastAsia" w:ascii="宋体" w:hAnsi="宋体"/>
                <w:sz w:val="24"/>
                <w:szCs w:val="24"/>
              </w:rPr>
              <w:t>20XX年</w:t>
            </w:r>
          </w:p>
        </w:tc>
        <w:tc>
          <w:tcPr>
            <w:tcW w:w="1410" w:type="dxa"/>
            <w:vAlign w:val="center"/>
          </w:tcPr>
          <w:p>
            <w:pPr>
              <w:pStyle w:val="21"/>
              <w:ind w:left="0" w:firstLine="0" w:firstLineChars="0"/>
              <w:jc w:val="center"/>
              <w:rPr>
                <w:rFonts w:ascii="宋体" w:hAnsi="宋体"/>
                <w:sz w:val="24"/>
                <w:szCs w:val="24"/>
              </w:rPr>
            </w:pPr>
          </w:p>
        </w:tc>
        <w:tc>
          <w:tcPr>
            <w:tcW w:w="1425" w:type="dxa"/>
            <w:vAlign w:val="center"/>
          </w:tcPr>
          <w:p>
            <w:pPr>
              <w:pStyle w:val="21"/>
              <w:ind w:left="0" w:firstLine="0" w:firstLineChars="0"/>
              <w:jc w:val="center"/>
              <w:rPr>
                <w:rFonts w:ascii="宋体" w:hAnsi="宋体"/>
                <w:sz w:val="24"/>
                <w:szCs w:val="24"/>
              </w:rPr>
            </w:pPr>
          </w:p>
        </w:tc>
        <w:tc>
          <w:tcPr>
            <w:tcW w:w="1455" w:type="dxa"/>
            <w:vAlign w:val="center"/>
          </w:tcPr>
          <w:p>
            <w:pPr>
              <w:pStyle w:val="21"/>
              <w:ind w:left="0" w:firstLine="0" w:firstLineChars="0"/>
              <w:jc w:val="center"/>
              <w:rPr>
                <w:rFonts w:ascii="宋体" w:hAnsi="宋体"/>
                <w:sz w:val="24"/>
                <w:szCs w:val="24"/>
              </w:rPr>
            </w:pPr>
          </w:p>
        </w:tc>
        <w:tc>
          <w:tcPr>
            <w:tcW w:w="1485" w:type="dxa"/>
            <w:vAlign w:val="center"/>
          </w:tcPr>
          <w:p>
            <w:pPr>
              <w:pStyle w:val="21"/>
              <w:ind w:left="0" w:firstLine="0" w:firstLineChars="0"/>
              <w:jc w:val="center"/>
              <w:rPr>
                <w:rFonts w:ascii="宋体" w:hAnsi="宋体"/>
                <w:sz w:val="24"/>
                <w:szCs w:val="24"/>
              </w:rPr>
            </w:pPr>
          </w:p>
        </w:tc>
        <w:tc>
          <w:tcPr>
            <w:tcW w:w="1336" w:type="dxa"/>
            <w:vAlign w:val="center"/>
          </w:tcPr>
          <w:p>
            <w:pPr>
              <w:pStyle w:val="21"/>
              <w:ind w:left="0"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1098" w:type="dxa"/>
            <w:vAlign w:val="center"/>
          </w:tcPr>
          <w:p>
            <w:pPr>
              <w:pStyle w:val="21"/>
              <w:ind w:left="0" w:firstLine="0" w:firstLineChars="0"/>
              <w:jc w:val="center"/>
              <w:rPr>
                <w:rFonts w:ascii="宋体" w:hAnsi="宋体"/>
                <w:sz w:val="24"/>
                <w:szCs w:val="24"/>
              </w:rPr>
            </w:pPr>
            <w:r>
              <w:rPr>
                <w:rFonts w:hint="eastAsia" w:ascii="宋体" w:hAnsi="宋体"/>
                <w:sz w:val="24"/>
                <w:szCs w:val="24"/>
              </w:rPr>
              <w:t>20XX年</w:t>
            </w:r>
          </w:p>
        </w:tc>
        <w:tc>
          <w:tcPr>
            <w:tcW w:w="1410" w:type="dxa"/>
            <w:vAlign w:val="center"/>
          </w:tcPr>
          <w:p>
            <w:pPr>
              <w:pStyle w:val="21"/>
              <w:ind w:left="0" w:firstLine="0" w:firstLineChars="0"/>
              <w:jc w:val="center"/>
              <w:rPr>
                <w:rFonts w:ascii="宋体" w:hAnsi="宋体"/>
                <w:sz w:val="24"/>
                <w:szCs w:val="24"/>
              </w:rPr>
            </w:pPr>
          </w:p>
        </w:tc>
        <w:tc>
          <w:tcPr>
            <w:tcW w:w="1425" w:type="dxa"/>
            <w:vAlign w:val="center"/>
          </w:tcPr>
          <w:p>
            <w:pPr>
              <w:pStyle w:val="21"/>
              <w:ind w:left="0" w:firstLine="0" w:firstLineChars="0"/>
              <w:jc w:val="center"/>
              <w:rPr>
                <w:rFonts w:ascii="宋体" w:hAnsi="宋体"/>
                <w:sz w:val="24"/>
                <w:szCs w:val="24"/>
              </w:rPr>
            </w:pPr>
          </w:p>
        </w:tc>
        <w:tc>
          <w:tcPr>
            <w:tcW w:w="1455" w:type="dxa"/>
            <w:vAlign w:val="center"/>
          </w:tcPr>
          <w:p>
            <w:pPr>
              <w:pStyle w:val="21"/>
              <w:ind w:left="0" w:firstLine="0" w:firstLineChars="0"/>
              <w:jc w:val="center"/>
              <w:rPr>
                <w:rFonts w:ascii="宋体" w:hAnsi="宋体"/>
                <w:sz w:val="24"/>
                <w:szCs w:val="24"/>
              </w:rPr>
            </w:pPr>
          </w:p>
        </w:tc>
        <w:tc>
          <w:tcPr>
            <w:tcW w:w="1485" w:type="dxa"/>
            <w:vAlign w:val="center"/>
          </w:tcPr>
          <w:p>
            <w:pPr>
              <w:pStyle w:val="21"/>
              <w:ind w:left="0" w:firstLine="0" w:firstLineChars="0"/>
              <w:jc w:val="center"/>
              <w:rPr>
                <w:rFonts w:ascii="宋体" w:hAnsi="宋体"/>
                <w:sz w:val="24"/>
                <w:szCs w:val="24"/>
              </w:rPr>
            </w:pPr>
          </w:p>
        </w:tc>
        <w:tc>
          <w:tcPr>
            <w:tcW w:w="1336" w:type="dxa"/>
            <w:vAlign w:val="center"/>
          </w:tcPr>
          <w:p>
            <w:pPr>
              <w:pStyle w:val="21"/>
              <w:ind w:left="0" w:firstLine="0" w:firstLineChars="0"/>
              <w:jc w:val="center"/>
              <w:rPr>
                <w:rFonts w:ascii="宋体" w:hAnsi="宋体"/>
                <w:sz w:val="24"/>
                <w:szCs w:val="24"/>
              </w:rPr>
            </w:pPr>
          </w:p>
        </w:tc>
      </w:tr>
      <w:tr>
        <w:trPr>
          <w:trHeight w:val="589" w:hRule="atLeast"/>
          <w:jc w:val="center"/>
        </w:trPr>
        <w:tc>
          <w:tcPr>
            <w:tcW w:w="1098" w:type="dxa"/>
            <w:vAlign w:val="center"/>
          </w:tcPr>
          <w:p>
            <w:pPr>
              <w:pStyle w:val="21"/>
              <w:ind w:left="0" w:firstLine="0" w:firstLineChars="0"/>
              <w:jc w:val="center"/>
              <w:rPr>
                <w:rFonts w:ascii="宋体" w:hAnsi="宋体"/>
                <w:sz w:val="24"/>
                <w:szCs w:val="24"/>
              </w:rPr>
            </w:pPr>
            <w:r>
              <w:rPr>
                <w:rFonts w:hint="eastAsia" w:ascii="宋体" w:hAnsi="宋体"/>
                <w:sz w:val="24"/>
                <w:szCs w:val="24"/>
              </w:rPr>
              <w:t>20XX年</w:t>
            </w:r>
          </w:p>
        </w:tc>
        <w:tc>
          <w:tcPr>
            <w:tcW w:w="1410" w:type="dxa"/>
            <w:vAlign w:val="center"/>
          </w:tcPr>
          <w:p>
            <w:pPr>
              <w:pStyle w:val="21"/>
              <w:ind w:left="0" w:firstLine="0" w:firstLineChars="0"/>
              <w:jc w:val="center"/>
              <w:rPr>
                <w:rFonts w:ascii="宋体" w:hAnsi="宋体"/>
                <w:sz w:val="24"/>
                <w:szCs w:val="24"/>
              </w:rPr>
            </w:pPr>
          </w:p>
        </w:tc>
        <w:tc>
          <w:tcPr>
            <w:tcW w:w="1425" w:type="dxa"/>
            <w:vAlign w:val="center"/>
          </w:tcPr>
          <w:p>
            <w:pPr>
              <w:pStyle w:val="21"/>
              <w:ind w:left="0" w:firstLine="0" w:firstLineChars="0"/>
              <w:jc w:val="center"/>
              <w:rPr>
                <w:rFonts w:ascii="宋体" w:hAnsi="宋体"/>
                <w:sz w:val="24"/>
                <w:szCs w:val="24"/>
              </w:rPr>
            </w:pPr>
          </w:p>
        </w:tc>
        <w:tc>
          <w:tcPr>
            <w:tcW w:w="1455" w:type="dxa"/>
            <w:vAlign w:val="center"/>
          </w:tcPr>
          <w:p>
            <w:pPr>
              <w:pStyle w:val="21"/>
              <w:ind w:left="0" w:firstLine="0" w:firstLineChars="0"/>
              <w:jc w:val="center"/>
              <w:rPr>
                <w:rFonts w:ascii="宋体" w:hAnsi="宋体"/>
                <w:sz w:val="24"/>
                <w:szCs w:val="24"/>
              </w:rPr>
            </w:pPr>
          </w:p>
        </w:tc>
        <w:tc>
          <w:tcPr>
            <w:tcW w:w="1485" w:type="dxa"/>
            <w:vAlign w:val="center"/>
          </w:tcPr>
          <w:p>
            <w:pPr>
              <w:pStyle w:val="21"/>
              <w:ind w:left="0" w:firstLine="0" w:firstLineChars="0"/>
              <w:jc w:val="center"/>
              <w:rPr>
                <w:rFonts w:ascii="宋体" w:hAnsi="宋体"/>
                <w:sz w:val="24"/>
                <w:szCs w:val="24"/>
              </w:rPr>
            </w:pPr>
          </w:p>
        </w:tc>
        <w:tc>
          <w:tcPr>
            <w:tcW w:w="1336" w:type="dxa"/>
            <w:vAlign w:val="center"/>
          </w:tcPr>
          <w:p>
            <w:pPr>
              <w:pStyle w:val="21"/>
              <w:ind w:left="0" w:firstLine="0" w:firstLineChars="0"/>
              <w:jc w:val="center"/>
              <w:rPr>
                <w:rFonts w:ascii="宋体" w:hAnsi="宋体"/>
                <w:sz w:val="24"/>
                <w:szCs w:val="24"/>
              </w:rPr>
            </w:pPr>
          </w:p>
        </w:tc>
      </w:tr>
    </w:tbl>
    <w:p>
      <w:pPr>
        <w:ind w:right="2"/>
        <w:rPr>
          <w:sz w:val="24"/>
          <w:szCs w:val="24"/>
        </w:rPr>
      </w:pPr>
    </w:p>
    <w:p>
      <w:pPr>
        <w:ind w:right="2"/>
        <w:rPr>
          <w:sz w:val="24"/>
          <w:szCs w:val="24"/>
        </w:rPr>
      </w:pPr>
    </w:p>
    <w:p>
      <w:pPr>
        <w:pStyle w:val="8"/>
        <w:spacing w:before="120" w:line="360" w:lineRule="auto"/>
        <w:rPr>
          <w:szCs w:val="24"/>
        </w:rPr>
      </w:pPr>
      <w:r>
        <w:rPr>
          <w:rFonts w:hint="eastAsia"/>
          <w:szCs w:val="24"/>
        </w:rPr>
        <w:t>投标人名称（公章）：</w:t>
      </w:r>
      <w:r>
        <w:rPr>
          <w:szCs w:val="24"/>
          <w:u w:val="single"/>
        </w:rPr>
        <w:tab/>
      </w:r>
      <w:r>
        <w:rPr>
          <w:szCs w:val="24"/>
          <w:u w:val="single"/>
        </w:rPr>
        <w:t xml:space="preserve">     </w:t>
      </w:r>
      <w:r>
        <w:rPr>
          <w:szCs w:val="24"/>
          <w:u w:val="single"/>
        </w:rPr>
        <w:tab/>
      </w:r>
      <w:r>
        <w:rPr>
          <w:szCs w:val="24"/>
          <w:u w:val="single"/>
        </w:rPr>
        <w:t xml:space="preserve">     </w:t>
      </w:r>
      <w:r>
        <w:rPr>
          <w:szCs w:val="24"/>
          <w:u w:val="single"/>
        </w:rPr>
        <w:tab/>
      </w:r>
      <w:r>
        <w:rPr>
          <w:szCs w:val="24"/>
          <w:u w:val="single"/>
        </w:rPr>
        <w:t xml:space="preserve">     </w:t>
      </w:r>
      <w:r>
        <w:rPr>
          <w:szCs w:val="24"/>
          <w:u w:val="single"/>
        </w:rPr>
        <w:tab/>
      </w:r>
    </w:p>
    <w:p>
      <w:pPr>
        <w:spacing w:line="360" w:lineRule="auto"/>
        <w:rPr>
          <w:sz w:val="24"/>
          <w:szCs w:val="24"/>
        </w:rPr>
      </w:pPr>
    </w:p>
    <w:p>
      <w:pPr>
        <w:spacing w:line="360" w:lineRule="auto"/>
        <w:rPr>
          <w:sz w:val="24"/>
          <w:szCs w:val="24"/>
          <w:u w:val="single"/>
        </w:rPr>
      </w:pPr>
      <w:r>
        <w:rPr>
          <w:rFonts w:hint="eastAsia"/>
          <w:sz w:val="24"/>
          <w:szCs w:val="24"/>
        </w:rPr>
        <w:t>授权代理人（签字）：</w:t>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sz w:val="24"/>
          <w:szCs w:val="24"/>
          <w:u w:val="single"/>
        </w:rPr>
        <w:t xml:space="preserve">    </w:t>
      </w:r>
    </w:p>
    <w:p>
      <w:pPr>
        <w:spacing w:line="360" w:lineRule="auto"/>
        <w:rPr>
          <w:sz w:val="24"/>
          <w:szCs w:val="24"/>
          <w:u w:val="single"/>
        </w:rPr>
      </w:pPr>
    </w:p>
    <w:p>
      <w:pPr>
        <w:spacing w:line="360" w:lineRule="auto"/>
        <w:rPr>
          <w:sz w:val="24"/>
          <w:szCs w:val="24"/>
          <w:u w:val="single"/>
        </w:rPr>
      </w:pPr>
      <w:r>
        <w:rPr>
          <w:rFonts w:hint="eastAsia"/>
          <w:sz w:val="24"/>
          <w:szCs w:val="24"/>
        </w:rPr>
        <w:t>日期：</w:t>
      </w:r>
      <w:r>
        <w:rPr>
          <w:sz w:val="24"/>
          <w:szCs w:val="24"/>
          <w:u w:val="single"/>
        </w:rPr>
        <w:tab/>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sz w:val="24"/>
          <w:szCs w:val="24"/>
          <w:u w:val="single"/>
        </w:rPr>
        <w:t xml:space="preserve">   </w:t>
      </w:r>
    </w:p>
    <w:p>
      <w:pPr>
        <w:pStyle w:val="10"/>
        <w:rPr>
          <w:rFonts w:ascii="Calibri" w:hAnsi="Calibri"/>
          <w:sz w:val="24"/>
          <w:szCs w:val="24"/>
        </w:rPr>
      </w:pPr>
    </w:p>
    <w:p>
      <w:pPr>
        <w:pStyle w:val="10"/>
        <w:spacing w:line="360" w:lineRule="auto"/>
        <w:rPr>
          <w:rFonts w:ascii="宋体" w:eastAsia="宋体" w:cs="宋体"/>
          <w:sz w:val="24"/>
          <w:szCs w:val="24"/>
        </w:rPr>
      </w:pPr>
      <w:r>
        <w:rPr>
          <w:rFonts w:hint="eastAsia" w:ascii="宋体" w:eastAsia="宋体" w:cs="宋体"/>
          <w:sz w:val="24"/>
          <w:szCs w:val="24"/>
        </w:rPr>
        <w:t>注：原则上，投标人需提供</w:t>
      </w:r>
      <w:r>
        <w:rPr>
          <w:rFonts w:hint="eastAsia" w:ascii="宋体" w:eastAsia="宋体" w:cs="宋体"/>
          <w:sz w:val="24"/>
          <w:szCs w:val="24"/>
          <w:lang w:eastAsia="zh-Hans"/>
        </w:rPr>
        <w:t>近三年</w:t>
      </w:r>
      <w:r>
        <w:rPr>
          <w:rFonts w:hint="eastAsia" w:ascii="宋体" w:eastAsia="宋体" w:cs="宋体"/>
          <w:sz w:val="24"/>
          <w:szCs w:val="24"/>
        </w:rPr>
        <w:t>度经第三方审计盖章的财务报表（财务报表至少包括资产负债表，利润表、现金流量表，复印件清晰）。如未编制完成20</w:t>
      </w:r>
      <w:r>
        <w:rPr>
          <w:rFonts w:ascii="宋体" w:eastAsia="宋体" w:cs="宋体"/>
          <w:sz w:val="24"/>
          <w:szCs w:val="24"/>
        </w:rPr>
        <w:t>20</w:t>
      </w:r>
      <w:r>
        <w:rPr>
          <w:rFonts w:hint="eastAsia" w:ascii="宋体" w:eastAsia="宋体" w:cs="宋体"/>
          <w:sz w:val="24"/>
          <w:szCs w:val="24"/>
        </w:rPr>
        <w:t>年财务报表的，可提供201</w:t>
      </w:r>
      <w:r>
        <w:rPr>
          <w:rFonts w:ascii="宋体" w:eastAsia="宋体" w:cs="宋体"/>
          <w:sz w:val="24"/>
          <w:szCs w:val="24"/>
        </w:rPr>
        <w:t>7</w:t>
      </w:r>
      <w:r>
        <w:rPr>
          <w:rFonts w:hint="eastAsia" w:ascii="宋体" w:eastAsia="宋体" w:cs="宋体"/>
          <w:sz w:val="24"/>
          <w:szCs w:val="24"/>
        </w:rPr>
        <w:t>年财务报表，不提供20</w:t>
      </w:r>
      <w:r>
        <w:rPr>
          <w:rFonts w:ascii="宋体" w:eastAsia="宋体" w:cs="宋体"/>
          <w:sz w:val="24"/>
          <w:szCs w:val="24"/>
        </w:rPr>
        <w:t>20</w:t>
      </w:r>
      <w:r>
        <w:rPr>
          <w:rFonts w:hint="eastAsia" w:ascii="宋体" w:eastAsia="宋体" w:cs="宋体"/>
          <w:sz w:val="24"/>
          <w:szCs w:val="24"/>
        </w:rPr>
        <w:t>年财务报表。</w:t>
      </w:r>
    </w:p>
    <w:p>
      <w:pPr>
        <w:pStyle w:val="10"/>
        <w:spacing w:line="360" w:lineRule="auto"/>
        <w:rPr>
          <w:rFonts w:ascii="宋体" w:eastAsia="宋体" w:cs="宋体"/>
          <w:sz w:val="24"/>
          <w:szCs w:val="24"/>
        </w:rPr>
      </w:pPr>
      <w:r>
        <w:rPr>
          <w:rFonts w:hint="eastAsia" w:ascii="宋体" w:eastAsia="宋体" w:cs="宋体"/>
          <w:sz w:val="24"/>
          <w:szCs w:val="24"/>
        </w:rPr>
        <w:t>如投标人未按照此要求提供证明文件，评标委员会将根据第三章《评标办法》的相关要求酌情评分。</w:t>
      </w:r>
    </w:p>
    <w:p>
      <w:pPr>
        <w:pStyle w:val="10"/>
        <w:spacing w:line="360" w:lineRule="auto"/>
        <w:rPr>
          <w:rFonts w:ascii="宋体" w:eastAsia="宋体" w:cs="宋体"/>
          <w:sz w:val="24"/>
          <w:szCs w:val="24"/>
        </w:rPr>
      </w:pPr>
    </w:p>
    <w:p>
      <w:pPr>
        <w:pStyle w:val="10"/>
        <w:spacing w:line="360" w:lineRule="auto"/>
        <w:rPr>
          <w:rFonts w:ascii="宋体" w:eastAsia="宋体" w:cs="宋体"/>
          <w:sz w:val="24"/>
          <w:szCs w:val="24"/>
        </w:rPr>
      </w:pPr>
    </w:p>
    <w:p>
      <w:pPr>
        <w:pStyle w:val="10"/>
        <w:spacing w:line="360" w:lineRule="auto"/>
        <w:rPr>
          <w:rFonts w:ascii="宋体" w:eastAsia="宋体" w:cs="宋体"/>
          <w:sz w:val="24"/>
          <w:szCs w:val="24"/>
        </w:rPr>
      </w:pPr>
    </w:p>
    <w:p>
      <w:pPr>
        <w:pStyle w:val="10"/>
        <w:spacing w:line="360" w:lineRule="auto"/>
        <w:rPr>
          <w:rFonts w:ascii="宋体" w:eastAsia="宋体" w:cs="宋体"/>
          <w:sz w:val="24"/>
          <w:szCs w:val="24"/>
        </w:rPr>
      </w:pPr>
    </w:p>
    <w:p>
      <w:pPr>
        <w:pStyle w:val="4"/>
        <w:numPr>
          <w:ilvl w:val="1"/>
          <w:numId w:val="53"/>
        </w:numPr>
        <w:adjustRightInd/>
        <w:spacing w:before="260" w:after="260" w:line="412" w:lineRule="auto"/>
        <w:ind w:left="575"/>
        <w:jc w:val="both"/>
        <w:textAlignment w:val="auto"/>
        <w:rPr>
          <w:szCs w:val="22"/>
        </w:rPr>
      </w:pPr>
      <w:bookmarkStart w:id="39" w:name="_Toc1941"/>
      <w:bookmarkStart w:id="40" w:name="_Toc30333985"/>
      <w:bookmarkStart w:id="41" w:name="_Toc14384"/>
      <w:r>
        <w:rPr>
          <w:rFonts w:hint="eastAsia"/>
          <w:szCs w:val="22"/>
        </w:rPr>
        <w:t>服务团队</w:t>
      </w:r>
      <w:bookmarkEnd w:id="39"/>
      <w:bookmarkEnd w:id="40"/>
      <w:bookmarkEnd w:id="41"/>
    </w:p>
    <w:tbl>
      <w:tblPr>
        <w:tblStyle w:val="15"/>
        <w:tblW w:w="0" w:type="auto"/>
        <w:jc w:val="center"/>
        <w:tblLayout w:type="fixed"/>
        <w:tblCellMar>
          <w:top w:w="0" w:type="dxa"/>
          <w:left w:w="108" w:type="dxa"/>
          <w:bottom w:w="0" w:type="dxa"/>
          <w:right w:w="108" w:type="dxa"/>
        </w:tblCellMar>
      </w:tblPr>
      <w:tblGrid>
        <w:gridCol w:w="438"/>
        <w:gridCol w:w="981"/>
        <w:gridCol w:w="681"/>
        <w:gridCol w:w="1156"/>
        <w:gridCol w:w="932"/>
        <w:gridCol w:w="2550"/>
        <w:gridCol w:w="1718"/>
      </w:tblGrid>
      <w:tr>
        <w:trPr>
          <w:trHeight w:val="789"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1"/>
                <w:szCs w:val="21"/>
                <w:lang w:val="zh-CN"/>
              </w:rPr>
            </w:pPr>
            <w:bookmarkStart w:id="42" w:name="_Hlk5019701"/>
            <w:r>
              <w:rPr>
                <w:rFonts w:hint="eastAsia" w:ascii="宋体" w:hAnsi="宋体" w:cs="宋体"/>
                <w:b/>
                <w:sz w:val="21"/>
                <w:szCs w:val="21"/>
                <w:lang w:val="zh-CN"/>
              </w:rPr>
              <w:t>序号</w:t>
            </w: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姓 名</w:t>
            </w: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年龄</w:t>
            </w: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学历</w:t>
            </w: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资质认证</w:t>
            </w: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工作经验和专长</w:t>
            </w: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
                <w:sz w:val="21"/>
                <w:szCs w:val="21"/>
                <w:lang w:val="zh-CN"/>
              </w:rPr>
            </w:pPr>
            <w:r>
              <w:rPr>
                <w:rFonts w:hint="eastAsia" w:ascii="宋体" w:hAnsi="宋体" w:cs="宋体"/>
                <w:b/>
                <w:sz w:val="21"/>
                <w:szCs w:val="21"/>
                <w:lang w:val="zh-CN"/>
              </w:rPr>
              <w:t>本项目承担的相应责任</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1</w:t>
            </w: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rPr>
              <w:t>张XX</w:t>
            </w: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硕士</w:t>
            </w:r>
          </w:p>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研究生</w:t>
            </w: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项目主管人员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2</w:t>
            </w: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王XX</w:t>
            </w: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博士</w:t>
            </w:r>
          </w:p>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研究生</w:t>
            </w: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日常运营人员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3</w:t>
            </w: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李XX</w:t>
            </w: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本科</w:t>
            </w:r>
          </w:p>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学士学位</w:t>
            </w: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r>
              <w:rPr>
                <w:rFonts w:hint="eastAsia" w:ascii="宋体" w:hAnsi="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r>
              <w:rPr>
                <w:rFonts w:hint="eastAsia" w:ascii="宋体" w:hAnsi="宋体" w:cs="宋体"/>
                <w:bCs/>
                <w:sz w:val="21"/>
                <w:szCs w:val="21"/>
                <w:lang w:val="zh-CN"/>
              </w:rPr>
              <w:t>客服人员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bCs/>
                <w:sz w:val="21"/>
                <w:szCs w:val="21"/>
                <w:lang w:val="zh-CN"/>
              </w:rPr>
            </w:pPr>
          </w:p>
        </w:tc>
      </w:tr>
      <w:bookmarkEnd w:id="42"/>
    </w:tbl>
    <w:p>
      <w:pPr>
        <w:pStyle w:val="9"/>
        <w:spacing w:line="360" w:lineRule="auto"/>
        <w:rPr>
          <w:rFonts w:ascii="Times New Roman" w:hAnsi="Times New Roman"/>
          <w:szCs w:val="21"/>
        </w:rPr>
      </w:pPr>
      <w:r>
        <w:rPr>
          <w:rFonts w:hint="eastAsia" w:ascii="Times New Roman" w:hAnsi="Times New Roman"/>
          <w:szCs w:val="21"/>
        </w:rPr>
        <w:t>我方承诺：我方提供的上述项目团队人员的全部信息及证明文件真实、有效。</w:t>
      </w:r>
    </w:p>
    <w:p>
      <w:pPr>
        <w:rPr>
          <w:rFonts w:ascii="Calibri" w:hAnsi="Calibri"/>
          <w:szCs w:val="24"/>
        </w:rPr>
      </w:pPr>
    </w:p>
    <w:p>
      <w:pPr>
        <w:pStyle w:val="8"/>
        <w:spacing w:before="120" w:line="360" w:lineRule="auto"/>
        <w:rPr>
          <w:szCs w:val="21"/>
        </w:rPr>
      </w:pPr>
      <w:r>
        <w:rPr>
          <w:rFonts w:hint="eastAsia"/>
          <w:szCs w:val="21"/>
        </w:rPr>
        <w:t>投标人名称（公章）：</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p>
    <w:p>
      <w:pPr>
        <w:spacing w:line="360" w:lineRule="auto"/>
        <w:rPr>
          <w:szCs w:val="21"/>
        </w:rPr>
      </w:pPr>
    </w:p>
    <w:p>
      <w:pPr>
        <w:spacing w:line="360" w:lineRule="auto"/>
        <w:rPr>
          <w:szCs w:val="21"/>
          <w:u w:val="single"/>
        </w:rPr>
      </w:pPr>
      <w:r>
        <w:rPr>
          <w:rFonts w:hint="eastAsia"/>
          <w:szCs w:val="21"/>
        </w:rPr>
        <w:t>授权代理人（签字）：</w:t>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spacing w:line="360" w:lineRule="auto"/>
        <w:rPr>
          <w:szCs w:val="21"/>
          <w:u w:val="single"/>
        </w:rPr>
      </w:pPr>
    </w:p>
    <w:p>
      <w:pPr>
        <w:spacing w:line="360" w:lineRule="auto"/>
        <w:rPr>
          <w:szCs w:val="21"/>
          <w:u w:val="single"/>
        </w:rPr>
      </w:pPr>
      <w:r>
        <w:rPr>
          <w:rFonts w:hint="eastAsia"/>
        </w:rPr>
        <w:t>日期：</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r>
        <w:rPr>
          <w:szCs w:val="21"/>
          <w:u w:val="single"/>
        </w:rPr>
        <w:tab/>
      </w:r>
      <w:r>
        <w:rPr>
          <w:szCs w:val="21"/>
          <w:u w:val="single"/>
        </w:rPr>
        <w:t xml:space="preserve">   </w:t>
      </w:r>
    </w:p>
    <w:p>
      <w:pPr>
        <w:pStyle w:val="10"/>
        <w:spacing w:line="360" w:lineRule="auto"/>
        <w:rPr>
          <w:rFonts w:ascii="宋体" w:eastAsia="宋体" w:cs="宋体"/>
          <w:sz w:val="24"/>
          <w:szCs w:val="24"/>
        </w:rPr>
      </w:pPr>
    </w:p>
    <w:p>
      <w:pPr>
        <w:pStyle w:val="2"/>
        <w:rPr>
          <w:rFonts w:cs="宋体"/>
          <w:b/>
          <w:bCs/>
          <w:kern w:val="0"/>
          <w:sz w:val="21"/>
          <w:szCs w:val="21"/>
          <w:lang w:eastAsia="zh-Hans"/>
        </w:rPr>
      </w:pPr>
    </w:p>
    <w:sectPr>
      <w:pgSz w:w="11906" w:h="16838"/>
      <w:pgMar w:top="1440" w:right="1797" w:bottom="1440" w:left="1797" w:header="709" w:footer="992" w:gutter="0"/>
      <w:cols w:space="1701"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仿宋_GB2312">
    <w:altName w:val="方正仿宋_GBK"/>
    <w:panose1 w:val="00000000000000000000"/>
    <w:charset w:val="00"/>
    <w:family w:val="modern"/>
    <w:pitch w:val="default"/>
    <w:sig w:usb0="00000000" w:usb1="00000000" w:usb2="00000000" w:usb3="00000000" w:csb0="00040000" w:csb1="00000000"/>
  </w:font>
  <w:font w:name="Songti SC">
    <w:panose1 w:val="02010800040101010101"/>
    <w:charset w:val="86"/>
    <w:family w:val="auto"/>
    <w:pitch w:val="default"/>
    <w:sig w:usb0="00000001" w:usb1="080F0000" w:usb2="00000000" w:usb3="00000000" w:csb0="00040000" w:csb1="00000000"/>
  </w:font>
  <w:font w:name="Damascus">
    <w:panose1 w:val="00000400000000000000"/>
    <w:charset w:val="00"/>
    <w:family w:val="auto"/>
    <w:pitch w:val="default"/>
    <w:sig w:usb0="80002000" w:usb1="80000000" w:usb2="00000080" w:usb3="00000000" w:csb0="0000004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8134"/>
    <w:multiLevelType w:val="multilevel"/>
    <w:tmpl w:val="5D2A8134"/>
    <w:lvl w:ilvl="0" w:tentative="0">
      <w:start w:val="1"/>
      <w:numFmt w:val="decimal"/>
      <w:lvlText w:val="%1."/>
      <w:lvlJc w:val="left"/>
      <w:pPr>
        <w:ind w:left="1567" w:hanging="432"/>
      </w:pPr>
    </w:lvl>
    <w:lvl w:ilvl="1" w:tentative="0">
      <w:start w:val="1"/>
      <w:numFmt w:val="decimal"/>
      <w:lvlText w:val="%1.%2."/>
      <w:lvlJc w:val="left"/>
      <w:pPr>
        <w:ind w:left="1710" w:hanging="575"/>
      </w:pPr>
    </w:lvl>
    <w:lvl w:ilvl="2" w:tentative="0">
      <w:start w:val="1"/>
      <w:numFmt w:val="decimal"/>
      <w:suff w:val="space"/>
      <w:lvlText w:val="%1.%2.%3."/>
      <w:lvlJc w:val="left"/>
      <w:pPr>
        <w:tabs>
          <w:tab w:val="left" w:pos="2546"/>
        </w:tabs>
        <w:ind w:left="2846" w:hanging="720"/>
      </w:pPr>
    </w:lvl>
    <w:lvl w:ilvl="3" w:tentative="0">
      <w:start w:val="1"/>
      <w:numFmt w:val="decimal"/>
      <w:lvlText w:val="%1.%2.%3.%4."/>
      <w:lvlJc w:val="left"/>
      <w:pPr>
        <w:ind w:left="1999" w:hanging="864"/>
      </w:pPr>
    </w:lvl>
    <w:lvl w:ilvl="4" w:tentative="0">
      <w:start w:val="1"/>
      <w:numFmt w:val="decimal"/>
      <w:lvlText w:val="%1.%2.%3.%4.%5."/>
      <w:lvlJc w:val="left"/>
      <w:pPr>
        <w:ind w:left="2143" w:hanging="1008"/>
      </w:pPr>
    </w:lvl>
    <w:lvl w:ilvl="5" w:tentative="0">
      <w:start w:val="1"/>
      <w:numFmt w:val="decimal"/>
      <w:lvlText w:val="%1.%2.%3.%4.%5.%6."/>
      <w:lvlJc w:val="left"/>
      <w:pPr>
        <w:ind w:left="2286" w:hanging="1151"/>
      </w:pPr>
    </w:lvl>
    <w:lvl w:ilvl="6" w:tentative="0">
      <w:start w:val="1"/>
      <w:numFmt w:val="decimal"/>
      <w:lvlText w:val="%1.%2.%3.%4.%5.%6.%7."/>
      <w:lvlJc w:val="left"/>
      <w:pPr>
        <w:ind w:left="2431" w:hanging="1296"/>
      </w:pPr>
    </w:lvl>
    <w:lvl w:ilvl="7" w:tentative="0">
      <w:start w:val="1"/>
      <w:numFmt w:val="decimal"/>
      <w:lvlText w:val="%1.%2.%3.%4.%5.%6.%7.%8."/>
      <w:lvlJc w:val="left"/>
      <w:pPr>
        <w:ind w:left="2575" w:hanging="1440"/>
      </w:pPr>
    </w:lvl>
    <w:lvl w:ilvl="8" w:tentative="0">
      <w:start w:val="1"/>
      <w:numFmt w:val="decimal"/>
      <w:lvlText w:val="%1.%2.%3.%4.%5.%6.%7.%8.%9."/>
      <w:lvlJc w:val="left"/>
      <w:pPr>
        <w:ind w:left="2718" w:hanging="1583"/>
      </w:pPr>
    </w:lvl>
  </w:abstractNum>
  <w:abstractNum w:abstractNumId="1">
    <w:nsid w:val="5EB6221C"/>
    <w:multiLevelType w:val="singleLevel"/>
    <w:tmpl w:val="5EB6221C"/>
    <w:lvl w:ilvl="0" w:tentative="0">
      <w:start w:val="1"/>
      <w:numFmt w:val="chineseCounting"/>
      <w:suff w:val="nothing"/>
      <w:lvlText w:val="%1、"/>
      <w:lvlJc w:val="left"/>
      <w:pPr>
        <w:ind w:left="0" w:firstLine="420"/>
      </w:pPr>
      <w:rPr>
        <w:rFonts w:hint="eastAsia"/>
      </w:rPr>
    </w:lvl>
  </w:abstractNum>
  <w:abstractNum w:abstractNumId="2">
    <w:nsid w:val="604F3530"/>
    <w:multiLevelType w:val="singleLevel"/>
    <w:tmpl w:val="604F3530"/>
    <w:lvl w:ilvl="0" w:tentative="0">
      <w:start w:val="1"/>
      <w:numFmt w:val="decimal"/>
      <w:suff w:val="nothing"/>
      <w:lvlText w:val="%1．"/>
      <w:lvlJc w:val="left"/>
      <w:pPr>
        <w:ind w:left="0" w:firstLine="400"/>
      </w:pPr>
      <w:rPr>
        <w:rFonts w:hint="default"/>
      </w:rPr>
    </w:lvl>
  </w:abstractNum>
  <w:abstractNum w:abstractNumId="3">
    <w:nsid w:val="604F383A"/>
    <w:multiLevelType w:val="singleLevel"/>
    <w:tmpl w:val="604F383A"/>
    <w:lvl w:ilvl="0" w:tentative="0">
      <w:start w:val="1"/>
      <w:numFmt w:val="decimal"/>
      <w:suff w:val="nothing"/>
      <w:lvlText w:val="%1．"/>
      <w:lvlJc w:val="left"/>
      <w:pPr>
        <w:ind w:left="0" w:firstLine="400"/>
      </w:pPr>
      <w:rPr>
        <w:rFonts w:hint="default"/>
      </w:rPr>
    </w:lvl>
  </w:abstractNum>
  <w:abstractNum w:abstractNumId="4">
    <w:nsid w:val="604F38A8"/>
    <w:multiLevelType w:val="singleLevel"/>
    <w:tmpl w:val="604F38A8"/>
    <w:lvl w:ilvl="0" w:tentative="0">
      <w:start w:val="1"/>
      <w:numFmt w:val="decimal"/>
      <w:suff w:val="nothing"/>
      <w:lvlText w:val="%1．"/>
      <w:lvlJc w:val="left"/>
      <w:pPr>
        <w:ind w:left="0" w:firstLine="400"/>
      </w:pPr>
      <w:rPr>
        <w:rFonts w:hint="default"/>
      </w:rPr>
    </w:lvl>
  </w:abstractNum>
  <w:abstractNum w:abstractNumId="5">
    <w:nsid w:val="604F3E75"/>
    <w:multiLevelType w:val="singleLevel"/>
    <w:tmpl w:val="604F3E75"/>
    <w:lvl w:ilvl="0" w:tentative="0">
      <w:start w:val="1"/>
      <w:numFmt w:val="decimal"/>
      <w:lvlText w:val="%1)"/>
      <w:lvlJc w:val="left"/>
      <w:pPr>
        <w:ind w:left="425" w:hanging="425"/>
      </w:pPr>
      <w:rPr>
        <w:rFonts w:hint="default"/>
      </w:rPr>
    </w:lvl>
  </w:abstractNum>
  <w:abstractNum w:abstractNumId="6">
    <w:nsid w:val="604F3E8A"/>
    <w:multiLevelType w:val="singleLevel"/>
    <w:tmpl w:val="604F3E8A"/>
    <w:lvl w:ilvl="0" w:tentative="0">
      <w:start w:val="1"/>
      <w:numFmt w:val="decimal"/>
      <w:lvlText w:val="%1)"/>
      <w:lvlJc w:val="left"/>
      <w:pPr>
        <w:ind w:left="425" w:hanging="425"/>
      </w:pPr>
      <w:rPr>
        <w:rFonts w:hint="default"/>
      </w:rPr>
    </w:lvl>
  </w:abstractNum>
  <w:abstractNum w:abstractNumId="7">
    <w:nsid w:val="604F43B1"/>
    <w:multiLevelType w:val="singleLevel"/>
    <w:tmpl w:val="604F43B1"/>
    <w:lvl w:ilvl="0" w:tentative="0">
      <w:start w:val="1"/>
      <w:numFmt w:val="chineseCounting"/>
      <w:suff w:val="nothing"/>
      <w:lvlText w:val="（%1）"/>
      <w:lvlJc w:val="left"/>
      <w:pPr>
        <w:ind w:left="0" w:firstLine="420"/>
      </w:pPr>
      <w:rPr>
        <w:rFonts w:hint="eastAsia"/>
      </w:rPr>
    </w:lvl>
  </w:abstractNum>
  <w:abstractNum w:abstractNumId="8">
    <w:nsid w:val="604F4437"/>
    <w:multiLevelType w:val="singleLevel"/>
    <w:tmpl w:val="604F4437"/>
    <w:lvl w:ilvl="0" w:tentative="0">
      <w:start w:val="1"/>
      <w:numFmt w:val="decimal"/>
      <w:suff w:val="nothing"/>
      <w:lvlText w:val="%1．"/>
      <w:lvlJc w:val="left"/>
      <w:pPr>
        <w:ind w:left="0" w:firstLine="400"/>
      </w:pPr>
      <w:rPr>
        <w:rFonts w:hint="default"/>
      </w:rPr>
    </w:lvl>
  </w:abstractNum>
  <w:abstractNum w:abstractNumId="9">
    <w:nsid w:val="604F44A2"/>
    <w:multiLevelType w:val="singleLevel"/>
    <w:tmpl w:val="604F44A2"/>
    <w:lvl w:ilvl="0" w:tentative="0">
      <w:start w:val="1"/>
      <w:numFmt w:val="decimal"/>
      <w:suff w:val="nothing"/>
      <w:lvlText w:val="%1．"/>
      <w:lvlJc w:val="left"/>
      <w:pPr>
        <w:ind w:left="0" w:firstLine="400"/>
      </w:pPr>
      <w:rPr>
        <w:rFonts w:hint="default"/>
      </w:rPr>
    </w:lvl>
  </w:abstractNum>
  <w:abstractNum w:abstractNumId="10">
    <w:nsid w:val="604F4589"/>
    <w:multiLevelType w:val="singleLevel"/>
    <w:tmpl w:val="604F4589"/>
    <w:lvl w:ilvl="0" w:tentative="0">
      <w:start w:val="1"/>
      <w:numFmt w:val="decimal"/>
      <w:suff w:val="nothing"/>
      <w:lvlText w:val="%1．"/>
      <w:lvlJc w:val="left"/>
      <w:pPr>
        <w:ind w:left="0" w:firstLine="400"/>
      </w:pPr>
      <w:rPr>
        <w:rFonts w:hint="default"/>
      </w:rPr>
    </w:lvl>
  </w:abstractNum>
  <w:abstractNum w:abstractNumId="11">
    <w:nsid w:val="604F45A0"/>
    <w:multiLevelType w:val="singleLevel"/>
    <w:tmpl w:val="604F45A0"/>
    <w:lvl w:ilvl="0" w:tentative="0">
      <w:start w:val="1"/>
      <w:numFmt w:val="decimal"/>
      <w:suff w:val="nothing"/>
      <w:lvlText w:val="%1．"/>
      <w:lvlJc w:val="left"/>
      <w:pPr>
        <w:ind w:left="0" w:firstLine="400"/>
      </w:pPr>
      <w:rPr>
        <w:rFonts w:hint="default"/>
      </w:rPr>
    </w:lvl>
  </w:abstractNum>
  <w:abstractNum w:abstractNumId="12">
    <w:nsid w:val="604F45B5"/>
    <w:multiLevelType w:val="singleLevel"/>
    <w:tmpl w:val="604F45B5"/>
    <w:lvl w:ilvl="0" w:tentative="0">
      <w:start w:val="1"/>
      <w:numFmt w:val="decimal"/>
      <w:suff w:val="nothing"/>
      <w:lvlText w:val="%1．"/>
      <w:lvlJc w:val="left"/>
      <w:pPr>
        <w:ind w:left="0" w:firstLine="400"/>
      </w:pPr>
      <w:rPr>
        <w:rFonts w:hint="default"/>
      </w:rPr>
    </w:lvl>
  </w:abstractNum>
  <w:abstractNum w:abstractNumId="13">
    <w:nsid w:val="604F45E4"/>
    <w:multiLevelType w:val="singleLevel"/>
    <w:tmpl w:val="604F45E4"/>
    <w:lvl w:ilvl="0" w:tentative="0">
      <w:start w:val="1"/>
      <w:numFmt w:val="decimal"/>
      <w:lvlText w:val="%1)"/>
      <w:lvlJc w:val="left"/>
      <w:pPr>
        <w:ind w:left="425" w:hanging="425"/>
      </w:pPr>
      <w:rPr>
        <w:rFonts w:hint="default"/>
      </w:rPr>
    </w:lvl>
  </w:abstractNum>
  <w:abstractNum w:abstractNumId="14">
    <w:nsid w:val="604F4600"/>
    <w:multiLevelType w:val="singleLevel"/>
    <w:tmpl w:val="604F4600"/>
    <w:lvl w:ilvl="0" w:tentative="0">
      <w:start w:val="1"/>
      <w:numFmt w:val="decimal"/>
      <w:lvlText w:val="%1)"/>
      <w:lvlJc w:val="left"/>
      <w:pPr>
        <w:ind w:left="425" w:hanging="425"/>
      </w:pPr>
      <w:rPr>
        <w:rFonts w:hint="default"/>
      </w:rPr>
    </w:lvl>
  </w:abstractNum>
  <w:abstractNum w:abstractNumId="15">
    <w:nsid w:val="604F4624"/>
    <w:multiLevelType w:val="singleLevel"/>
    <w:tmpl w:val="604F4624"/>
    <w:lvl w:ilvl="0" w:tentative="0">
      <w:start w:val="1"/>
      <w:numFmt w:val="decimal"/>
      <w:lvlText w:val="%1)"/>
      <w:lvlJc w:val="left"/>
      <w:pPr>
        <w:ind w:left="425" w:hanging="425"/>
      </w:pPr>
      <w:rPr>
        <w:rFonts w:hint="default"/>
      </w:rPr>
    </w:lvl>
  </w:abstractNum>
  <w:abstractNum w:abstractNumId="16">
    <w:nsid w:val="604F463A"/>
    <w:multiLevelType w:val="singleLevel"/>
    <w:tmpl w:val="604F463A"/>
    <w:lvl w:ilvl="0" w:tentative="0">
      <w:start w:val="1"/>
      <w:numFmt w:val="decimal"/>
      <w:lvlText w:val="%1)"/>
      <w:lvlJc w:val="left"/>
      <w:pPr>
        <w:ind w:left="425" w:hanging="425"/>
      </w:pPr>
      <w:rPr>
        <w:rFonts w:hint="default"/>
      </w:rPr>
    </w:lvl>
  </w:abstractNum>
  <w:abstractNum w:abstractNumId="17">
    <w:nsid w:val="604F464D"/>
    <w:multiLevelType w:val="singleLevel"/>
    <w:tmpl w:val="604F464D"/>
    <w:lvl w:ilvl="0" w:tentative="0">
      <w:start w:val="1"/>
      <w:numFmt w:val="decimal"/>
      <w:lvlText w:val="%1)"/>
      <w:lvlJc w:val="left"/>
      <w:pPr>
        <w:ind w:left="425" w:hanging="425"/>
      </w:pPr>
      <w:rPr>
        <w:rFonts w:hint="default"/>
      </w:rPr>
    </w:lvl>
  </w:abstractNum>
  <w:abstractNum w:abstractNumId="18">
    <w:nsid w:val="604F465F"/>
    <w:multiLevelType w:val="singleLevel"/>
    <w:tmpl w:val="604F465F"/>
    <w:lvl w:ilvl="0" w:tentative="0">
      <w:start w:val="1"/>
      <w:numFmt w:val="decimal"/>
      <w:lvlText w:val="%1)"/>
      <w:lvlJc w:val="left"/>
      <w:pPr>
        <w:ind w:left="425" w:hanging="425"/>
      </w:pPr>
      <w:rPr>
        <w:rFonts w:hint="default"/>
      </w:rPr>
    </w:lvl>
  </w:abstractNum>
  <w:abstractNum w:abstractNumId="19">
    <w:nsid w:val="604F4674"/>
    <w:multiLevelType w:val="singleLevel"/>
    <w:tmpl w:val="604F4674"/>
    <w:lvl w:ilvl="0" w:tentative="0">
      <w:start w:val="1"/>
      <w:numFmt w:val="decimal"/>
      <w:lvlText w:val="%1)"/>
      <w:lvlJc w:val="left"/>
      <w:pPr>
        <w:ind w:left="425" w:hanging="425"/>
      </w:pPr>
      <w:rPr>
        <w:rFonts w:hint="default"/>
      </w:rPr>
    </w:lvl>
  </w:abstractNum>
  <w:abstractNum w:abstractNumId="20">
    <w:nsid w:val="604F46AB"/>
    <w:multiLevelType w:val="singleLevel"/>
    <w:tmpl w:val="604F46AB"/>
    <w:lvl w:ilvl="0" w:tentative="0">
      <w:start w:val="1"/>
      <w:numFmt w:val="decimal"/>
      <w:lvlText w:val="%1)"/>
      <w:lvlJc w:val="left"/>
      <w:pPr>
        <w:ind w:left="425" w:hanging="425"/>
      </w:pPr>
      <w:rPr>
        <w:rFonts w:hint="default"/>
      </w:rPr>
    </w:lvl>
  </w:abstractNum>
  <w:abstractNum w:abstractNumId="21">
    <w:nsid w:val="604F46CD"/>
    <w:multiLevelType w:val="singleLevel"/>
    <w:tmpl w:val="604F46CD"/>
    <w:lvl w:ilvl="0" w:tentative="0">
      <w:start w:val="1"/>
      <w:numFmt w:val="decimal"/>
      <w:lvlText w:val="%1)"/>
      <w:lvlJc w:val="left"/>
      <w:pPr>
        <w:ind w:left="425" w:hanging="425"/>
      </w:pPr>
      <w:rPr>
        <w:rFonts w:hint="default"/>
      </w:rPr>
    </w:lvl>
  </w:abstractNum>
  <w:abstractNum w:abstractNumId="22">
    <w:nsid w:val="604F46E1"/>
    <w:multiLevelType w:val="singleLevel"/>
    <w:tmpl w:val="604F46E1"/>
    <w:lvl w:ilvl="0" w:tentative="0">
      <w:start w:val="1"/>
      <w:numFmt w:val="decimal"/>
      <w:lvlText w:val="%1)"/>
      <w:lvlJc w:val="left"/>
      <w:pPr>
        <w:ind w:left="425" w:hanging="425"/>
      </w:pPr>
      <w:rPr>
        <w:rFonts w:hint="default"/>
      </w:rPr>
    </w:lvl>
  </w:abstractNum>
  <w:abstractNum w:abstractNumId="23">
    <w:nsid w:val="604F46F6"/>
    <w:multiLevelType w:val="singleLevel"/>
    <w:tmpl w:val="604F46F6"/>
    <w:lvl w:ilvl="0" w:tentative="0">
      <w:start w:val="1"/>
      <w:numFmt w:val="decimal"/>
      <w:lvlText w:val="%1)"/>
      <w:lvlJc w:val="left"/>
      <w:pPr>
        <w:ind w:left="425" w:hanging="425"/>
      </w:pPr>
      <w:rPr>
        <w:rFonts w:hint="default"/>
      </w:rPr>
    </w:lvl>
  </w:abstractNum>
  <w:abstractNum w:abstractNumId="24">
    <w:nsid w:val="604F4708"/>
    <w:multiLevelType w:val="singleLevel"/>
    <w:tmpl w:val="604F4708"/>
    <w:lvl w:ilvl="0" w:tentative="0">
      <w:start w:val="1"/>
      <w:numFmt w:val="decimal"/>
      <w:lvlText w:val="%1)"/>
      <w:lvlJc w:val="left"/>
      <w:pPr>
        <w:ind w:left="425" w:hanging="425"/>
      </w:pPr>
      <w:rPr>
        <w:rFonts w:hint="default"/>
      </w:rPr>
    </w:lvl>
  </w:abstractNum>
  <w:abstractNum w:abstractNumId="25">
    <w:nsid w:val="604F4724"/>
    <w:multiLevelType w:val="singleLevel"/>
    <w:tmpl w:val="604F4724"/>
    <w:lvl w:ilvl="0" w:tentative="0">
      <w:start w:val="1"/>
      <w:numFmt w:val="decimal"/>
      <w:lvlText w:val="%1)"/>
      <w:lvlJc w:val="left"/>
      <w:pPr>
        <w:ind w:left="425" w:hanging="425"/>
      </w:pPr>
      <w:rPr>
        <w:rFonts w:hint="default"/>
      </w:rPr>
    </w:lvl>
  </w:abstractNum>
  <w:abstractNum w:abstractNumId="26">
    <w:nsid w:val="604F473C"/>
    <w:multiLevelType w:val="singleLevel"/>
    <w:tmpl w:val="604F473C"/>
    <w:lvl w:ilvl="0" w:tentative="0">
      <w:start w:val="1"/>
      <w:numFmt w:val="decimal"/>
      <w:lvlText w:val="%1)"/>
      <w:lvlJc w:val="left"/>
      <w:pPr>
        <w:ind w:left="425" w:hanging="425"/>
      </w:pPr>
      <w:rPr>
        <w:rFonts w:hint="default"/>
      </w:rPr>
    </w:lvl>
  </w:abstractNum>
  <w:abstractNum w:abstractNumId="27">
    <w:nsid w:val="604F474E"/>
    <w:multiLevelType w:val="singleLevel"/>
    <w:tmpl w:val="604F474E"/>
    <w:lvl w:ilvl="0" w:tentative="0">
      <w:start w:val="1"/>
      <w:numFmt w:val="decimal"/>
      <w:lvlText w:val="%1)"/>
      <w:lvlJc w:val="left"/>
      <w:pPr>
        <w:ind w:left="425" w:hanging="425"/>
      </w:pPr>
      <w:rPr>
        <w:rFonts w:hint="default"/>
      </w:rPr>
    </w:lvl>
  </w:abstractNum>
  <w:abstractNum w:abstractNumId="28">
    <w:nsid w:val="604F476B"/>
    <w:multiLevelType w:val="singleLevel"/>
    <w:tmpl w:val="604F476B"/>
    <w:lvl w:ilvl="0" w:tentative="0">
      <w:start w:val="1"/>
      <w:numFmt w:val="decimal"/>
      <w:lvlText w:val="%1)"/>
      <w:lvlJc w:val="left"/>
      <w:pPr>
        <w:ind w:left="425" w:hanging="425"/>
      </w:pPr>
      <w:rPr>
        <w:rFonts w:hint="default"/>
      </w:rPr>
    </w:lvl>
  </w:abstractNum>
  <w:abstractNum w:abstractNumId="29">
    <w:nsid w:val="604F4780"/>
    <w:multiLevelType w:val="singleLevel"/>
    <w:tmpl w:val="604F4780"/>
    <w:lvl w:ilvl="0" w:tentative="0">
      <w:start w:val="1"/>
      <w:numFmt w:val="decimal"/>
      <w:lvlText w:val="%1)"/>
      <w:lvlJc w:val="left"/>
      <w:pPr>
        <w:ind w:left="425" w:hanging="425"/>
      </w:pPr>
      <w:rPr>
        <w:rFonts w:hint="default"/>
      </w:rPr>
    </w:lvl>
  </w:abstractNum>
  <w:abstractNum w:abstractNumId="30">
    <w:nsid w:val="604F4794"/>
    <w:multiLevelType w:val="singleLevel"/>
    <w:tmpl w:val="604F4794"/>
    <w:lvl w:ilvl="0" w:tentative="0">
      <w:start w:val="1"/>
      <w:numFmt w:val="decimal"/>
      <w:lvlText w:val="%1)"/>
      <w:lvlJc w:val="left"/>
      <w:pPr>
        <w:ind w:left="425" w:hanging="425"/>
      </w:pPr>
      <w:rPr>
        <w:rFonts w:hint="default"/>
      </w:rPr>
    </w:lvl>
  </w:abstractNum>
  <w:abstractNum w:abstractNumId="31">
    <w:nsid w:val="604F47BE"/>
    <w:multiLevelType w:val="singleLevel"/>
    <w:tmpl w:val="604F47BE"/>
    <w:lvl w:ilvl="0" w:tentative="0">
      <w:start w:val="1"/>
      <w:numFmt w:val="decimal"/>
      <w:lvlText w:val="%1)"/>
      <w:lvlJc w:val="left"/>
      <w:pPr>
        <w:ind w:left="425" w:hanging="425"/>
      </w:pPr>
      <w:rPr>
        <w:rFonts w:hint="default"/>
      </w:rPr>
    </w:lvl>
  </w:abstractNum>
  <w:abstractNum w:abstractNumId="32">
    <w:nsid w:val="604F47CF"/>
    <w:multiLevelType w:val="singleLevel"/>
    <w:tmpl w:val="604F47CF"/>
    <w:lvl w:ilvl="0" w:tentative="0">
      <w:start w:val="1"/>
      <w:numFmt w:val="decimal"/>
      <w:lvlText w:val="%1)"/>
      <w:lvlJc w:val="left"/>
      <w:pPr>
        <w:ind w:left="425" w:hanging="425"/>
      </w:pPr>
      <w:rPr>
        <w:rFonts w:hint="default"/>
      </w:rPr>
    </w:lvl>
  </w:abstractNum>
  <w:abstractNum w:abstractNumId="33">
    <w:nsid w:val="604F47E0"/>
    <w:multiLevelType w:val="singleLevel"/>
    <w:tmpl w:val="604F47E0"/>
    <w:lvl w:ilvl="0" w:tentative="0">
      <w:start w:val="1"/>
      <w:numFmt w:val="decimal"/>
      <w:lvlText w:val="%1)"/>
      <w:lvlJc w:val="left"/>
      <w:pPr>
        <w:ind w:left="425" w:hanging="425"/>
      </w:pPr>
      <w:rPr>
        <w:rFonts w:hint="default"/>
      </w:rPr>
    </w:lvl>
  </w:abstractNum>
  <w:abstractNum w:abstractNumId="34">
    <w:nsid w:val="604F47F1"/>
    <w:multiLevelType w:val="singleLevel"/>
    <w:tmpl w:val="604F47F1"/>
    <w:lvl w:ilvl="0" w:tentative="0">
      <w:start w:val="1"/>
      <w:numFmt w:val="decimal"/>
      <w:lvlText w:val="%1)"/>
      <w:lvlJc w:val="left"/>
      <w:pPr>
        <w:ind w:left="425" w:hanging="425"/>
      </w:pPr>
      <w:rPr>
        <w:rFonts w:hint="default"/>
      </w:rPr>
    </w:lvl>
  </w:abstractNum>
  <w:abstractNum w:abstractNumId="35">
    <w:nsid w:val="604F4803"/>
    <w:multiLevelType w:val="singleLevel"/>
    <w:tmpl w:val="604F4803"/>
    <w:lvl w:ilvl="0" w:tentative="0">
      <w:start w:val="1"/>
      <w:numFmt w:val="decimal"/>
      <w:lvlText w:val="%1)"/>
      <w:lvlJc w:val="left"/>
      <w:pPr>
        <w:ind w:left="425" w:hanging="425"/>
      </w:pPr>
      <w:rPr>
        <w:rFonts w:hint="default"/>
      </w:rPr>
    </w:lvl>
  </w:abstractNum>
  <w:abstractNum w:abstractNumId="36">
    <w:nsid w:val="604F4817"/>
    <w:multiLevelType w:val="singleLevel"/>
    <w:tmpl w:val="604F4817"/>
    <w:lvl w:ilvl="0" w:tentative="0">
      <w:start w:val="1"/>
      <w:numFmt w:val="decimal"/>
      <w:lvlText w:val="%1)"/>
      <w:lvlJc w:val="left"/>
      <w:pPr>
        <w:ind w:left="425" w:hanging="425"/>
      </w:pPr>
      <w:rPr>
        <w:rFonts w:hint="default"/>
      </w:rPr>
    </w:lvl>
  </w:abstractNum>
  <w:abstractNum w:abstractNumId="37">
    <w:nsid w:val="604F4829"/>
    <w:multiLevelType w:val="singleLevel"/>
    <w:tmpl w:val="604F4829"/>
    <w:lvl w:ilvl="0" w:tentative="0">
      <w:start w:val="1"/>
      <w:numFmt w:val="decimal"/>
      <w:lvlText w:val="%1)"/>
      <w:lvlJc w:val="left"/>
      <w:pPr>
        <w:ind w:left="425" w:hanging="425"/>
      </w:pPr>
      <w:rPr>
        <w:rFonts w:hint="default"/>
      </w:rPr>
    </w:lvl>
  </w:abstractNum>
  <w:abstractNum w:abstractNumId="38">
    <w:nsid w:val="604F485B"/>
    <w:multiLevelType w:val="singleLevel"/>
    <w:tmpl w:val="604F485B"/>
    <w:lvl w:ilvl="0" w:tentative="0">
      <w:start w:val="1"/>
      <w:numFmt w:val="chineseCounting"/>
      <w:suff w:val="nothing"/>
      <w:lvlText w:val="（%1）"/>
      <w:lvlJc w:val="left"/>
      <w:pPr>
        <w:ind w:left="0" w:firstLine="420"/>
      </w:pPr>
      <w:rPr>
        <w:rFonts w:hint="eastAsia"/>
      </w:rPr>
    </w:lvl>
  </w:abstractNum>
  <w:abstractNum w:abstractNumId="39">
    <w:nsid w:val="604F4887"/>
    <w:multiLevelType w:val="singleLevel"/>
    <w:tmpl w:val="604F4887"/>
    <w:lvl w:ilvl="0" w:tentative="0">
      <w:start w:val="1"/>
      <w:numFmt w:val="decimal"/>
      <w:lvlText w:val="%1)"/>
      <w:lvlJc w:val="left"/>
      <w:pPr>
        <w:ind w:left="425" w:hanging="425"/>
      </w:pPr>
      <w:rPr>
        <w:rFonts w:hint="default"/>
      </w:rPr>
    </w:lvl>
  </w:abstractNum>
  <w:abstractNum w:abstractNumId="40">
    <w:nsid w:val="604F48F6"/>
    <w:multiLevelType w:val="singleLevel"/>
    <w:tmpl w:val="604F48F6"/>
    <w:lvl w:ilvl="0" w:tentative="0">
      <w:start w:val="1"/>
      <w:numFmt w:val="decimal"/>
      <w:suff w:val="nothing"/>
      <w:lvlText w:val="%1．"/>
      <w:lvlJc w:val="left"/>
      <w:pPr>
        <w:ind w:left="0" w:firstLine="400"/>
      </w:pPr>
      <w:rPr>
        <w:rFonts w:hint="default"/>
      </w:rPr>
    </w:lvl>
  </w:abstractNum>
  <w:abstractNum w:abstractNumId="41">
    <w:nsid w:val="604F4918"/>
    <w:multiLevelType w:val="singleLevel"/>
    <w:tmpl w:val="604F4918"/>
    <w:lvl w:ilvl="0" w:tentative="0">
      <w:start w:val="1"/>
      <w:numFmt w:val="decimal"/>
      <w:suff w:val="nothing"/>
      <w:lvlText w:val="%1．"/>
      <w:lvlJc w:val="left"/>
      <w:pPr>
        <w:ind w:left="0" w:firstLine="400"/>
      </w:pPr>
      <w:rPr>
        <w:rFonts w:hint="default"/>
      </w:rPr>
    </w:lvl>
  </w:abstractNum>
  <w:abstractNum w:abstractNumId="42">
    <w:nsid w:val="604F494C"/>
    <w:multiLevelType w:val="singleLevel"/>
    <w:tmpl w:val="604F494C"/>
    <w:lvl w:ilvl="0" w:tentative="0">
      <w:start w:val="1"/>
      <w:numFmt w:val="decimal"/>
      <w:suff w:val="nothing"/>
      <w:lvlText w:val="%1．"/>
      <w:lvlJc w:val="left"/>
      <w:pPr>
        <w:ind w:left="0" w:firstLine="400"/>
      </w:pPr>
      <w:rPr>
        <w:rFonts w:hint="default"/>
      </w:rPr>
    </w:lvl>
  </w:abstractNum>
  <w:abstractNum w:abstractNumId="43">
    <w:nsid w:val="604F498F"/>
    <w:multiLevelType w:val="singleLevel"/>
    <w:tmpl w:val="604F498F"/>
    <w:lvl w:ilvl="0" w:tentative="0">
      <w:start w:val="1"/>
      <w:numFmt w:val="decimal"/>
      <w:suff w:val="nothing"/>
      <w:lvlText w:val="%1．"/>
      <w:lvlJc w:val="left"/>
      <w:pPr>
        <w:ind w:left="0" w:firstLine="400"/>
      </w:pPr>
      <w:rPr>
        <w:rFonts w:hint="default"/>
      </w:rPr>
    </w:lvl>
  </w:abstractNum>
  <w:abstractNum w:abstractNumId="44">
    <w:nsid w:val="604F49B6"/>
    <w:multiLevelType w:val="singleLevel"/>
    <w:tmpl w:val="604F49B6"/>
    <w:lvl w:ilvl="0" w:tentative="0">
      <w:start w:val="1"/>
      <w:numFmt w:val="chineseCounting"/>
      <w:suff w:val="nothing"/>
      <w:lvlText w:val="（%1）"/>
      <w:lvlJc w:val="left"/>
      <w:pPr>
        <w:ind w:left="0" w:firstLine="420"/>
      </w:pPr>
      <w:rPr>
        <w:rFonts w:hint="eastAsia"/>
      </w:rPr>
    </w:lvl>
  </w:abstractNum>
  <w:abstractNum w:abstractNumId="45">
    <w:nsid w:val="604F49DA"/>
    <w:multiLevelType w:val="singleLevel"/>
    <w:tmpl w:val="604F49DA"/>
    <w:lvl w:ilvl="0" w:tentative="0">
      <w:start w:val="1"/>
      <w:numFmt w:val="decimal"/>
      <w:suff w:val="nothing"/>
      <w:lvlText w:val="%1．"/>
      <w:lvlJc w:val="left"/>
      <w:pPr>
        <w:ind w:left="0" w:firstLine="400"/>
      </w:pPr>
      <w:rPr>
        <w:rFonts w:hint="default"/>
      </w:rPr>
    </w:lvl>
  </w:abstractNum>
  <w:abstractNum w:abstractNumId="46">
    <w:nsid w:val="604F49F4"/>
    <w:multiLevelType w:val="singleLevel"/>
    <w:tmpl w:val="604F49F4"/>
    <w:lvl w:ilvl="0" w:tentative="0">
      <w:start w:val="1"/>
      <w:numFmt w:val="decimal"/>
      <w:suff w:val="nothing"/>
      <w:lvlText w:val="%1．"/>
      <w:lvlJc w:val="left"/>
      <w:pPr>
        <w:ind w:left="0" w:firstLine="400"/>
      </w:pPr>
      <w:rPr>
        <w:rFonts w:hint="default"/>
      </w:rPr>
    </w:lvl>
  </w:abstractNum>
  <w:abstractNum w:abstractNumId="47">
    <w:nsid w:val="60503891"/>
    <w:multiLevelType w:val="singleLevel"/>
    <w:tmpl w:val="60503891"/>
    <w:lvl w:ilvl="0" w:tentative="0">
      <w:start w:val="1"/>
      <w:numFmt w:val="decimal"/>
      <w:suff w:val="nothing"/>
      <w:lvlText w:val="%1．"/>
      <w:lvlJc w:val="left"/>
      <w:pPr>
        <w:ind w:left="0" w:leftChars="0" w:firstLine="400" w:firstLineChars="0"/>
      </w:pPr>
      <w:rPr>
        <w:rFonts w:hint="default"/>
      </w:rPr>
    </w:lvl>
  </w:abstractNum>
  <w:abstractNum w:abstractNumId="48">
    <w:nsid w:val="605038E6"/>
    <w:multiLevelType w:val="singleLevel"/>
    <w:tmpl w:val="605038E6"/>
    <w:lvl w:ilvl="0" w:tentative="0">
      <w:start w:val="1"/>
      <w:numFmt w:val="decimal"/>
      <w:suff w:val="nothing"/>
      <w:lvlText w:val="%1．"/>
      <w:lvlJc w:val="left"/>
      <w:pPr>
        <w:ind w:left="0" w:leftChars="0" w:firstLine="400" w:firstLineChars="0"/>
      </w:pPr>
      <w:rPr>
        <w:rFonts w:hint="default"/>
      </w:rPr>
    </w:lvl>
  </w:abstractNum>
  <w:abstractNum w:abstractNumId="49">
    <w:nsid w:val="6050393E"/>
    <w:multiLevelType w:val="singleLevel"/>
    <w:tmpl w:val="6050393E"/>
    <w:lvl w:ilvl="0" w:tentative="0">
      <w:start w:val="1"/>
      <w:numFmt w:val="decimal"/>
      <w:suff w:val="nothing"/>
      <w:lvlText w:val="%1．"/>
      <w:lvlJc w:val="left"/>
      <w:pPr>
        <w:ind w:left="0" w:leftChars="0" w:firstLine="400" w:firstLineChars="0"/>
      </w:pPr>
      <w:rPr>
        <w:rFonts w:hint="default"/>
      </w:rPr>
    </w:lvl>
  </w:abstractNum>
  <w:abstractNum w:abstractNumId="50">
    <w:nsid w:val="60503952"/>
    <w:multiLevelType w:val="singleLevel"/>
    <w:tmpl w:val="60503952"/>
    <w:lvl w:ilvl="0" w:tentative="0">
      <w:start w:val="1"/>
      <w:numFmt w:val="decimal"/>
      <w:suff w:val="nothing"/>
      <w:lvlText w:val="%1．"/>
      <w:lvlJc w:val="left"/>
      <w:pPr>
        <w:ind w:left="0" w:leftChars="0" w:firstLine="400" w:firstLineChars="0"/>
      </w:pPr>
      <w:rPr>
        <w:rFonts w:hint="default"/>
      </w:rPr>
    </w:lvl>
  </w:abstractNum>
  <w:abstractNum w:abstractNumId="51">
    <w:nsid w:val="60503970"/>
    <w:multiLevelType w:val="singleLevel"/>
    <w:tmpl w:val="60503970"/>
    <w:lvl w:ilvl="0" w:tentative="0">
      <w:start w:val="1"/>
      <w:numFmt w:val="decimal"/>
      <w:suff w:val="nothing"/>
      <w:lvlText w:val="%1．"/>
      <w:lvlJc w:val="left"/>
      <w:pPr>
        <w:ind w:left="0" w:leftChars="0" w:firstLine="400" w:firstLineChars="0"/>
      </w:pPr>
      <w:rPr>
        <w:rFonts w:hint="default"/>
      </w:rPr>
    </w:lvl>
  </w:abstractNum>
  <w:abstractNum w:abstractNumId="52">
    <w:nsid w:val="60503993"/>
    <w:multiLevelType w:val="singleLevel"/>
    <w:tmpl w:val="60503993"/>
    <w:lvl w:ilvl="0" w:tentative="0">
      <w:start w:val="1"/>
      <w:numFmt w:val="decimal"/>
      <w:suff w:val="nothing"/>
      <w:lvlText w:val="%1．"/>
      <w:lvlJc w:val="left"/>
      <w:pPr>
        <w:ind w:left="0" w:leftChars="0" w:firstLine="400" w:firstLineChars="0"/>
      </w:pPr>
      <w:rPr>
        <w:rFonts w:hint="default"/>
      </w:rPr>
    </w:lvl>
  </w:abstractNum>
  <w:abstractNum w:abstractNumId="53">
    <w:nsid w:val="605039A8"/>
    <w:multiLevelType w:val="singleLevel"/>
    <w:tmpl w:val="605039A8"/>
    <w:lvl w:ilvl="0" w:tentative="0">
      <w:start w:val="1"/>
      <w:numFmt w:val="decimal"/>
      <w:suff w:val="nothing"/>
      <w:lvlText w:val="%1．"/>
      <w:lvlJc w:val="left"/>
      <w:pPr>
        <w:ind w:left="0" w:leftChars="0" w:firstLine="400" w:firstLineChars="0"/>
      </w:pPr>
      <w:rPr>
        <w:rFonts w:hint="default"/>
      </w:rPr>
    </w:lvl>
  </w:abstractNum>
  <w:abstractNum w:abstractNumId="54">
    <w:nsid w:val="6B94682F"/>
    <w:multiLevelType w:val="multilevel"/>
    <w:tmpl w:val="6B94682F"/>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5"/>
  </w:num>
  <w:num w:numId="4">
    <w:abstractNumId w:val="2"/>
  </w:num>
  <w:num w:numId="5">
    <w:abstractNumId w:val="10"/>
  </w:num>
  <w:num w:numId="6">
    <w:abstractNumId w:val="11"/>
  </w:num>
  <w:num w:numId="7">
    <w:abstractNumId w:val="12"/>
  </w:num>
  <w:num w:numId="8">
    <w:abstractNumId w:val="4"/>
  </w:num>
  <w:num w:numId="9">
    <w:abstractNumId w:val="13"/>
  </w:num>
  <w:num w:numId="10">
    <w:abstractNumId w:val="47"/>
  </w:num>
  <w:num w:numId="11">
    <w:abstractNumId w:val="14"/>
  </w:num>
  <w:num w:numId="12">
    <w:abstractNumId w:val="15"/>
  </w:num>
  <w:num w:numId="13">
    <w:abstractNumId w:val="16"/>
  </w:num>
  <w:num w:numId="14">
    <w:abstractNumId w:val="48"/>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49"/>
  </w:num>
  <w:num w:numId="22">
    <w:abstractNumId w:val="23"/>
  </w:num>
  <w:num w:numId="23">
    <w:abstractNumId w:val="24"/>
  </w:num>
  <w:num w:numId="24">
    <w:abstractNumId w:val="50"/>
  </w:num>
  <w:num w:numId="25">
    <w:abstractNumId w:val="25"/>
  </w:num>
  <w:num w:numId="26">
    <w:abstractNumId w:val="26"/>
  </w:num>
  <w:num w:numId="27">
    <w:abstractNumId w:val="27"/>
  </w:num>
  <w:num w:numId="28">
    <w:abstractNumId w:val="28"/>
  </w:num>
  <w:num w:numId="29">
    <w:abstractNumId w:val="29"/>
  </w:num>
  <w:num w:numId="30">
    <w:abstractNumId w:val="51"/>
  </w:num>
  <w:num w:numId="31">
    <w:abstractNumId w:val="30"/>
  </w:num>
  <w:num w:numId="32">
    <w:abstractNumId w:val="31"/>
  </w:num>
  <w:num w:numId="33">
    <w:abstractNumId w:val="32"/>
  </w:num>
  <w:num w:numId="34">
    <w:abstractNumId w:val="33"/>
  </w:num>
  <w:num w:numId="35">
    <w:abstractNumId w:val="34"/>
  </w:num>
  <w:num w:numId="36">
    <w:abstractNumId w:val="52"/>
  </w:num>
  <w:num w:numId="37">
    <w:abstractNumId w:val="35"/>
  </w:num>
  <w:num w:numId="38">
    <w:abstractNumId w:val="53"/>
  </w:num>
  <w:num w:numId="39">
    <w:abstractNumId w:val="36"/>
  </w:num>
  <w:num w:numId="40">
    <w:abstractNumId w:val="37"/>
  </w:num>
  <w:num w:numId="41">
    <w:abstractNumId w:val="7"/>
  </w:num>
  <w:num w:numId="42">
    <w:abstractNumId w:val="8"/>
  </w:num>
  <w:num w:numId="43">
    <w:abstractNumId w:val="38"/>
  </w:num>
  <w:num w:numId="44">
    <w:abstractNumId w:val="9"/>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0"/>
  </w:num>
  <w:num w:numId="54">
    <w:abstractNumId w:val="1"/>
  </w:num>
  <w:num w:numId="55">
    <w:abstractNumId w:val="5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yaqin">
    <w15:presenceInfo w15:providerId="None" w15:userId="liyaq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balanceSingleByteDoubleByteWidth/>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3"/>
    <w:rsid w:val="00001D20"/>
    <w:rsid w:val="0000666B"/>
    <w:rsid w:val="00081C5A"/>
    <w:rsid w:val="000E1E29"/>
    <w:rsid w:val="00120BAA"/>
    <w:rsid w:val="00241D0E"/>
    <w:rsid w:val="002F45AA"/>
    <w:rsid w:val="003A3427"/>
    <w:rsid w:val="004A6D86"/>
    <w:rsid w:val="004C14F6"/>
    <w:rsid w:val="006072C3"/>
    <w:rsid w:val="006F66FC"/>
    <w:rsid w:val="008468FB"/>
    <w:rsid w:val="00965CD1"/>
    <w:rsid w:val="00B04D3A"/>
    <w:rsid w:val="00BC2118"/>
    <w:rsid w:val="00BC2CCC"/>
    <w:rsid w:val="00EA1954"/>
    <w:rsid w:val="00F06EEC"/>
    <w:rsid w:val="769FFFCB"/>
    <w:rsid w:val="77ED58AF"/>
    <w:rsid w:val="7FF6CDCC"/>
    <w:rsid w:val="DFFA1914"/>
    <w:rsid w:val="EF6CB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eastAsia="宋体" w:asciiTheme="minorHAnsi" w:hAnsiTheme="minorHAnsi" w:cstheme="minorBidi"/>
      <w:kern w:val="2"/>
      <w:lang w:val="en-US" w:eastAsia="zh-CN" w:bidi="ar-SA"/>
    </w:rPr>
  </w:style>
  <w:style w:type="paragraph" w:styleId="3">
    <w:name w:val="heading 1"/>
    <w:basedOn w:val="1"/>
    <w:next w:val="1"/>
    <w:qFormat/>
    <w:uiPriority w:val="0"/>
    <w:pPr>
      <w:keepNext/>
      <w:keepLines/>
      <w:spacing w:before="120" w:after="120"/>
      <w:jc w:val="center"/>
      <w:outlineLvl w:val="0"/>
    </w:pPr>
    <w:rPr>
      <w:b/>
      <w:kern w:val="44"/>
      <w:sz w:val="44"/>
    </w:rPr>
  </w:style>
  <w:style w:type="paragraph" w:styleId="4">
    <w:name w:val="heading 2"/>
    <w:basedOn w:val="1"/>
    <w:next w:val="1"/>
    <w:unhideWhenUsed/>
    <w:qFormat/>
    <w:uiPriority w:val="0"/>
    <w:pPr>
      <w:keepNext/>
      <w:keepLines/>
      <w:adjustRightInd w:val="0"/>
      <w:spacing w:before="240" w:line="360" w:lineRule="auto"/>
      <w:jc w:val="center"/>
      <w:textAlignment w:val="baseline"/>
      <w:outlineLvl w:val="1"/>
    </w:pPr>
    <w:rPr>
      <w:rFonts w:ascii="Arial" w:hAnsi="Arial" w:eastAsia="黑体"/>
      <w:b/>
      <w:kern w:val="0"/>
      <w:sz w:val="30"/>
    </w:rPr>
  </w:style>
  <w:style w:type="paragraph" w:styleId="5">
    <w:name w:val="heading 3"/>
    <w:basedOn w:val="1"/>
    <w:next w:val="1"/>
    <w:link w:val="19"/>
    <w:qFormat/>
    <w:uiPriority w:val="9"/>
    <w:pPr>
      <w:spacing w:before="260" w:after="260" w:line="408"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7">
    <w:name w:val="annotation subject"/>
    <w:basedOn w:val="8"/>
    <w:next w:val="8"/>
    <w:link w:val="23"/>
    <w:qFormat/>
    <w:uiPriority w:val="0"/>
    <w:pPr>
      <w:adjustRightInd/>
      <w:spacing w:line="240" w:lineRule="auto"/>
      <w:textAlignment w:val="auto"/>
    </w:pPr>
    <w:rPr>
      <w:b/>
      <w:bCs/>
      <w:kern w:val="2"/>
      <w:sz w:val="20"/>
    </w:rPr>
  </w:style>
  <w:style w:type="paragraph" w:styleId="8">
    <w:name w:val="annotation text"/>
    <w:basedOn w:val="1"/>
    <w:link w:val="22"/>
    <w:qFormat/>
    <w:uiPriority w:val="0"/>
    <w:pPr>
      <w:adjustRightInd w:val="0"/>
      <w:spacing w:line="360" w:lineRule="atLeast"/>
      <w:textAlignment w:val="baseline"/>
    </w:pPr>
    <w:rPr>
      <w:kern w:val="0"/>
      <w:sz w:val="24"/>
    </w:rPr>
  </w:style>
  <w:style w:type="paragraph" w:styleId="9">
    <w:name w:val="Plain Text"/>
    <w:basedOn w:val="1"/>
    <w:qFormat/>
    <w:uiPriority w:val="0"/>
    <w:rPr>
      <w:rFonts w:ascii="宋体" w:hAnsi="Courier New"/>
    </w:rPr>
  </w:style>
  <w:style w:type="paragraph" w:styleId="10">
    <w:name w:val="Body Text 2"/>
    <w:basedOn w:val="1"/>
    <w:qFormat/>
    <w:uiPriority w:val="0"/>
    <w:rPr>
      <w:rFonts w:ascii="仿宋_GB2312" w:hAnsi="宋体" w:eastAsia="仿宋_GB2312"/>
    </w:rPr>
  </w:style>
  <w:style w:type="paragraph" w:styleId="11">
    <w:name w:val="Title"/>
    <w:basedOn w:val="1"/>
    <w:next w:val="1"/>
    <w:link w:val="17"/>
    <w:qFormat/>
    <w:uiPriority w:val="10"/>
    <w:pPr>
      <w:spacing w:before="240" w:after="60" w:line="408" w:lineRule="auto"/>
      <w:jc w:val="center"/>
    </w:pPr>
    <w:rPr>
      <w:rFonts w:ascii="宋体" w:hAnsi="宋体" w:cs="宋体"/>
      <w:b/>
      <w:color w:val="000000"/>
      <w:sz w:val="32"/>
    </w:rPr>
  </w:style>
  <w:style w:type="character" w:styleId="13">
    <w:name w:val="Hyperlink"/>
    <w:qFormat/>
    <w:uiPriority w:val="99"/>
    <w:rPr>
      <w:color w:val="6DA0E3"/>
      <w:u w:val="single"/>
    </w:rPr>
  </w:style>
  <w:style w:type="character" w:styleId="14">
    <w:name w:val="annotation reference"/>
    <w:basedOn w:val="12"/>
    <w:qFormat/>
    <w:uiPriority w:val="0"/>
    <w:rPr>
      <w:sz w:val="21"/>
      <w:szCs w:val="21"/>
    </w:rPr>
  </w:style>
  <w:style w:type="paragraph" w:customStyle="1" w:styleId="16">
    <w:name w:val="Normal1"/>
    <w:qFormat/>
    <w:uiPriority w:val="0"/>
    <w:pPr>
      <w:widowControl w:val="0"/>
    </w:pPr>
    <w:rPr>
      <w:rFonts w:eastAsia="宋体" w:asciiTheme="minorHAnsi" w:hAnsiTheme="majorHAnsi" w:cstheme="minorBidi"/>
      <w:kern w:val="2"/>
      <w:lang w:val="en-US" w:eastAsia="zh-CN" w:bidi="ar-SA"/>
    </w:rPr>
  </w:style>
  <w:style w:type="character" w:customStyle="1" w:styleId="17">
    <w:name w:val="标题 字符"/>
    <w:link w:val="11"/>
    <w:qFormat/>
    <w:uiPriority w:val="10"/>
    <w:rPr>
      <w:rFonts w:hint="default" w:ascii="宋体" w:hAnsi="宋体" w:eastAsia="宋体" w:cs="宋体"/>
      <w:b/>
      <w:color w:val="000000"/>
      <w:sz w:val="32"/>
    </w:rPr>
  </w:style>
  <w:style w:type="paragraph" w:customStyle="1" w:styleId="18">
    <w:name w:val="Normal11"/>
    <w:qFormat/>
    <w:uiPriority w:val="0"/>
    <w:pPr>
      <w:widowControl w:val="0"/>
    </w:pPr>
    <w:rPr>
      <w:rFonts w:eastAsia="宋体" w:asciiTheme="minorHAnsi" w:hAnsiTheme="majorHAnsi" w:cstheme="minorBidi"/>
      <w:kern w:val="2"/>
      <w:lang w:val="en-US" w:eastAsia="zh-CN" w:bidi="ar-SA"/>
    </w:rPr>
  </w:style>
  <w:style w:type="character" w:customStyle="1" w:styleId="19">
    <w:name w:val="标题 3 字符"/>
    <w:link w:val="5"/>
    <w:qFormat/>
    <w:uiPriority w:val="9"/>
    <w:rPr>
      <w:b/>
      <w:sz w:val="32"/>
    </w:rPr>
  </w:style>
  <w:style w:type="paragraph" w:customStyle="1" w:styleId="20">
    <w:name w:val="样式 标题 2 + 首行缩进:  2 字符"/>
    <w:basedOn w:val="4"/>
    <w:qFormat/>
    <w:uiPriority w:val="0"/>
  </w:style>
  <w:style w:type="paragraph" w:customStyle="1" w:styleId="21">
    <w:name w:val="样式 左侧:  0.74 厘米1"/>
    <w:basedOn w:val="1"/>
    <w:qFormat/>
    <w:uiPriority w:val="0"/>
    <w:pPr>
      <w:ind w:left="620" w:hanging="200" w:hangingChars="200"/>
    </w:pPr>
    <w:rPr>
      <w:rFonts w:cs="宋体"/>
    </w:rPr>
  </w:style>
  <w:style w:type="character" w:customStyle="1" w:styleId="22">
    <w:name w:val="批注文字 字符"/>
    <w:basedOn w:val="12"/>
    <w:link w:val="8"/>
    <w:qFormat/>
    <w:uiPriority w:val="0"/>
    <w:rPr>
      <w:sz w:val="24"/>
    </w:rPr>
  </w:style>
  <w:style w:type="character" w:customStyle="1" w:styleId="23">
    <w:name w:val="批注主题 字符"/>
    <w:basedOn w:val="22"/>
    <w:link w:val="7"/>
    <w:qFormat/>
    <w:uiPriority w:val="0"/>
    <w:rPr>
      <w:b/>
      <w:bCs/>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2465</Words>
  <Characters>14051</Characters>
  <Lines>117</Lines>
  <Paragraphs>32</Paragraphs>
  <ScaleCrop>false</ScaleCrop>
  <LinksUpToDate>false</LinksUpToDate>
  <CharactersWithSpaces>16484</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2021-03-16T08:33:00Z</dcterms:created>
  <dc:creator>Shimo</dc:creator>
  <cp:lastModifiedBy>liyaqin</cp:lastModifiedBy>
  <dcterms:modified xsi:type="dcterms:W3CDTF">2021-03-18T15:30:46Z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